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2.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3.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8B3" w:rsidRDefault="00156FAB" w:rsidP="002F106C">
      <w:pPr>
        <w:spacing w:after="0" w:line="240" w:lineRule="auto"/>
        <w:jc w:val="center"/>
        <w:rPr>
          <w:rFonts w:ascii="Times New Roman" w:hAnsi="Times New Roman" w:cs="Times New Roman"/>
          <w:b/>
          <w:sz w:val="28"/>
          <w:szCs w:val="24"/>
        </w:rPr>
      </w:pPr>
      <w:bookmarkStart w:id="0" w:name="_GoBack"/>
      <w:bookmarkEnd w:id="0"/>
      <w:r w:rsidRPr="002E0C58">
        <w:rPr>
          <w:rFonts w:ascii="Times New Roman" w:hAnsi="Times New Roman" w:cs="Times New Roman"/>
          <w:b/>
          <w:sz w:val="28"/>
          <w:szCs w:val="24"/>
        </w:rPr>
        <w:t xml:space="preserve">Отчет о </w:t>
      </w:r>
      <w:r w:rsidR="008D6580">
        <w:rPr>
          <w:rFonts w:ascii="Times New Roman" w:hAnsi="Times New Roman" w:cs="Times New Roman"/>
          <w:b/>
          <w:sz w:val="28"/>
          <w:szCs w:val="24"/>
        </w:rPr>
        <w:t>результатах мониторинга закупок для обеспечения муниципальных нужд городского</w:t>
      </w:r>
      <w:r w:rsidRPr="002E0C58">
        <w:rPr>
          <w:rFonts w:ascii="Times New Roman" w:hAnsi="Times New Roman" w:cs="Times New Roman"/>
          <w:b/>
          <w:sz w:val="28"/>
          <w:szCs w:val="24"/>
        </w:rPr>
        <w:t xml:space="preserve"> округ</w:t>
      </w:r>
      <w:r w:rsidR="008D6580">
        <w:rPr>
          <w:rFonts w:ascii="Times New Roman" w:hAnsi="Times New Roman" w:cs="Times New Roman"/>
          <w:b/>
          <w:sz w:val="28"/>
          <w:szCs w:val="24"/>
        </w:rPr>
        <w:t>а</w:t>
      </w:r>
      <w:r w:rsidRPr="002E0C58">
        <w:rPr>
          <w:rFonts w:ascii="Times New Roman" w:hAnsi="Times New Roman" w:cs="Times New Roman"/>
          <w:b/>
          <w:sz w:val="28"/>
          <w:szCs w:val="24"/>
        </w:rPr>
        <w:t xml:space="preserve"> «город Якутск»</w:t>
      </w:r>
      <w:r w:rsidR="002F106C" w:rsidRPr="002E0C58">
        <w:rPr>
          <w:rFonts w:ascii="Times New Roman" w:hAnsi="Times New Roman" w:cs="Times New Roman"/>
          <w:b/>
          <w:sz w:val="28"/>
          <w:szCs w:val="24"/>
        </w:rPr>
        <w:t xml:space="preserve"> за </w:t>
      </w:r>
      <w:r w:rsidR="00364519">
        <w:rPr>
          <w:rFonts w:ascii="Times New Roman" w:hAnsi="Times New Roman" w:cs="Times New Roman"/>
          <w:b/>
          <w:sz w:val="28"/>
          <w:szCs w:val="24"/>
        </w:rPr>
        <w:t>2016 год</w:t>
      </w:r>
    </w:p>
    <w:p w:rsidR="00364519" w:rsidRPr="002E0C58" w:rsidRDefault="00364519" w:rsidP="002F106C">
      <w:pPr>
        <w:spacing w:after="0" w:line="240" w:lineRule="auto"/>
        <w:jc w:val="center"/>
        <w:rPr>
          <w:rFonts w:ascii="Times New Roman" w:hAnsi="Times New Roman" w:cs="Times New Roman"/>
          <w:b/>
          <w:sz w:val="28"/>
          <w:szCs w:val="24"/>
        </w:rPr>
      </w:pPr>
    </w:p>
    <w:p w:rsidR="00BD7E4A" w:rsidRPr="00BB0F70" w:rsidRDefault="00BD7E4A" w:rsidP="00BB0F70">
      <w:pPr>
        <w:pStyle w:val="a5"/>
        <w:ind w:firstLine="708"/>
        <w:jc w:val="both"/>
        <w:rPr>
          <w:rFonts w:ascii="Times New Roman" w:hAnsi="Times New Roman" w:cs="Times New Roman"/>
          <w:sz w:val="28"/>
          <w:szCs w:val="28"/>
        </w:rPr>
      </w:pPr>
      <w:r w:rsidRPr="00BB0F70">
        <w:rPr>
          <w:rFonts w:ascii="Times New Roman" w:hAnsi="Times New Roman" w:cs="Times New Roman"/>
          <w:sz w:val="28"/>
          <w:szCs w:val="28"/>
        </w:rPr>
        <w:t xml:space="preserve">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основными задачами Управления муниципальных закупок Окружной администрации города Якутска являются: </w:t>
      </w:r>
    </w:p>
    <w:p w:rsidR="00BD7E4A" w:rsidRPr="00BB0F70" w:rsidRDefault="00BD7E4A" w:rsidP="00BB0F70">
      <w:pPr>
        <w:pStyle w:val="a5"/>
        <w:jc w:val="both"/>
        <w:rPr>
          <w:rFonts w:ascii="Times New Roman" w:hAnsi="Times New Roman" w:cs="Times New Roman"/>
          <w:sz w:val="28"/>
          <w:szCs w:val="28"/>
        </w:rPr>
      </w:pPr>
      <w:r w:rsidRPr="00BB0F70">
        <w:rPr>
          <w:rFonts w:ascii="Times New Roman" w:hAnsi="Times New Roman" w:cs="Times New Roman"/>
          <w:sz w:val="28"/>
          <w:szCs w:val="28"/>
        </w:rPr>
        <w:t>- повышение эффективности, результативности осуществления закупок товаров, работ, услуг;</w:t>
      </w:r>
    </w:p>
    <w:p w:rsidR="00BD7E4A" w:rsidRPr="00BB0F70" w:rsidRDefault="00BD7E4A" w:rsidP="00BB0F70">
      <w:pPr>
        <w:pStyle w:val="a5"/>
        <w:jc w:val="both"/>
        <w:rPr>
          <w:rFonts w:ascii="Times New Roman" w:hAnsi="Times New Roman" w:cs="Times New Roman"/>
          <w:sz w:val="28"/>
          <w:szCs w:val="28"/>
        </w:rPr>
      </w:pPr>
      <w:r w:rsidRPr="00BB0F70">
        <w:rPr>
          <w:rFonts w:ascii="Times New Roman" w:hAnsi="Times New Roman" w:cs="Times New Roman"/>
          <w:sz w:val="28"/>
          <w:szCs w:val="28"/>
        </w:rPr>
        <w:t>- обеспечение гласности и прозрачности осуществления закупок товаров, работ, услуг;</w:t>
      </w:r>
    </w:p>
    <w:p w:rsidR="00BD7E4A" w:rsidRPr="00BB0F70" w:rsidRDefault="00BD7E4A" w:rsidP="00BB0F70">
      <w:pPr>
        <w:pStyle w:val="a5"/>
        <w:jc w:val="both"/>
        <w:rPr>
          <w:rFonts w:ascii="Times New Roman" w:hAnsi="Times New Roman" w:cs="Times New Roman"/>
          <w:sz w:val="28"/>
          <w:szCs w:val="28"/>
        </w:rPr>
      </w:pPr>
      <w:r w:rsidRPr="00BB0F70">
        <w:rPr>
          <w:rFonts w:ascii="Times New Roman" w:hAnsi="Times New Roman" w:cs="Times New Roman"/>
          <w:sz w:val="28"/>
          <w:szCs w:val="28"/>
        </w:rPr>
        <w:t>- предотвращение коррупции и других злоупотреблений в сфере закупок товаров, работ, услуг;</w:t>
      </w:r>
    </w:p>
    <w:p w:rsidR="00BD7E4A" w:rsidRPr="00BB0F70" w:rsidRDefault="00BD7E4A" w:rsidP="00BB0F70">
      <w:pPr>
        <w:pStyle w:val="a5"/>
        <w:jc w:val="both"/>
        <w:rPr>
          <w:rFonts w:ascii="Times New Roman" w:hAnsi="Times New Roman" w:cs="Times New Roman"/>
          <w:sz w:val="28"/>
          <w:szCs w:val="28"/>
        </w:rPr>
      </w:pPr>
      <w:r w:rsidRPr="00BB0F70">
        <w:rPr>
          <w:rFonts w:ascii="Times New Roman" w:hAnsi="Times New Roman" w:cs="Times New Roman"/>
          <w:sz w:val="28"/>
          <w:szCs w:val="28"/>
        </w:rPr>
        <w:t>- соблюдение требований законодательства Российской Федерации в сфере закупок.</w:t>
      </w:r>
    </w:p>
    <w:p w:rsidR="00BD7E4A" w:rsidRPr="00BB0F70" w:rsidRDefault="00BD7E4A" w:rsidP="00BB0F70">
      <w:pPr>
        <w:pStyle w:val="a5"/>
        <w:ind w:firstLine="708"/>
        <w:jc w:val="both"/>
        <w:rPr>
          <w:rFonts w:ascii="Times New Roman" w:hAnsi="Times New Roman" w:cs="Times New Roman"/>
          <w:sz w:val="28"/>
          <w:szCs w:val="28"/>
        </w:rPr>
      </w:pPr>
      <w:r w:rsidRPr="00BB0F70">
        <w:rPr>
          <w:rFonts w:ascii="Times New Roman" w:hAnsi="Times New Roman" w:cs="Times New Roman"/>
          <w:sz w:val="28"/>
          <w:szCs w:val="28"/>
        </w:rPr>
        <w:t>Управление муниципальных закупок размещает закупки за 2</w:t>
      </w:r>
      <w:r w:rsidR="00FC496C" w:rsidRPr="00FC496C">
        <w:rPr>
          <w:rFonts w:ascii="Times New Roman" w:hAnsi="Times New Roman" w:cs="Times New Roman"/>
          <w:sz w:val="28"/>
          <w:szCs w:val="28"/>
        </w:rPr>
        <w:t>09</w:t>
      </w:r>
      <w:r w:rsidRPr="00BB0F70">
        <w:rPr>
          <w:rFonts w:ascii="Times New Roman" w:hAnsi="Times New Roman" w:cs="Times New Roman"/>
          <w:sz w:val="28"/>
          <w:szCs w:val="28"/>
        </w:rPr>
        <w:t xml:space="preserve"> муниципальных заказчиков. Это муниципальные и бюджетные учреждения городского округа «город Якутск»: школы, детские сады, учреждения культуры, муниципальные казенные учреждения, структурные подразделения Окружной администрации города Якутска.</w:t>
      </w:r>
    </w:p>
    <w:p w:rsidR="00E64B50" w:rsidRPr="00BB0F70" w:rsidRDefault="00BD7E4A" w:rsidP="00BB0F70">
      <w:pPr>
        <w:pStyle w:val="a5"/>
        <w:ind w:firstLine="708"/>
        <w:jc w:val="both"/>
        <w:rPr>
          <w:rFonts w:ascii="Times New Roman" w:hAnsi="Times New Roman" w:cs="Times New Roman"/>
          <w:sz w:val="28"/>
          <w:szCs w:val="28"/>
        </w:rPr>
      </w:pPr>
      <w:r w:rsidRPr="00BB0F70">
        <w:rPr>
          <w:rFonts w:ascii="Times New Roman" w:hAnsi="Times New Roman" w:cs="Times New Roman"/>
          <w:sz w:val="28"/>
          <w:szCs w:val="28"/>
        </w:rPr>
        <w:t xml:space="preserve">В соответствии с </w:t>
      </w:r>
      <w:r w:rsidR="00BD3390" w:rsidRPr="00BB0F70">
        <w:rPr>
          <w:rFonts w:ascii="Times New Roman" w:hAnsi="Times New Roman" w:cs="Times New Roman"/>
          <w:sz w:val="28"/>
          <w:szCs w:val="28"/>
        </w:rPr>
        <w:t>постановлением Окружной администрацией города Якутска от 27 октября 2015 года № 279п</w:t>
      </w:r>
      <w:r w:rsidR="008D6580">
        <w:rPr>
          <w:rFonts w:ascii="Times New Roman" w:hAnsi="Times New Roman" w:cs="Times New Roman"/>
          <w:sz w:val="28"/>
          <w:szCs w:val="28"/>
        </w:rPr>
        <w:t xml:space="preserve"> </w:t>
      </w:r>
      <w:r w:rsidR="008D6580" w:rsidRPr="008D6580">
        <w:rPr>
          <w:rFonts w:ascii="Times New Roman" w:hAnsi="Times New Roman" w:cs="Times New Roman"/>
          <w:sz w:val="28"/>
          <w:szCs w:val="28"/>
        </w:rPr>
        <w:t>«О проведении мониторинга закупок для обеспечения муниципальных нужд городского округа «город Якутск»</w:t>
      </w:r>
      <w:r w:rsidR="008D6580">
        <w:rPr>
          <w:rFonts w:ascii="Times New Roman" w:hAnsi="Times New Roman" w:cs="Times New Roman"/>
          <w:sz w:val="28"/>
          <w:szCs w:val="28"/>
        </w:rPr>
        <w:t>»</w:t>
      </w:r>
      <w:r w:rsidRPr="00BB0F70">
        <w:rPr>
          <w:rFonts w:ascii="Times New Roman" w:hAnsi="Times New Roman" w:cs="Times New Roman"/>
          <w:sz w:val="28"/>
          <w:szCs w:val="28"/>
        </w:rPr>
        <w:t xml:space="preserve"> </w:t>
      </w:r>
      <w:r w:rsidR="00E64B50" w:rsidRPr="00BB0F70">
        <w:rPr>
          <w:rFonts w:ascii="Times New Roman" w:hAnsi="Times New Roman" w:cs="Times New Roman"/>
          <w:sz w:val="28"/>
          <w:szCs w:val="28"/>
        </w:rPr>
        <w:t xml:space="preserve">Управлением </w:t>
      </w:r>
      <w:r w:rsidR="00E64B50" w:rsidRPr="00BB0F70">
        <w:rPr>
          <w:rFonts w:ascii="Times New Roman" w:hAnsi="Times New Roman" w:cs="Times New Roman"/>
          <w:sz w:val="28"/>
          <w:szCs w:val="28"/>
        </w:rPr>
        <w:lastRenderedPageBreak/>
        <w:t>муниципальных закупок проведена</w:t>
      </w:r>
      <w:r w:rsidR="003D272E" w:rsidRPr="00BB0F70">
        <w:rPr>
          <w:rFonts w:ascii="Times New Roman" w:hAnsi="Times New Roman" w:cs="Times New Roman"/>
          <w:sz w:val="28"/>
          <w:szCs w:val="28"/>
        </w:rPr>
        <w:t xml:space="preserve"> комплексн</w:t>
      </w:r>
      <w:r w:rsidR="00E64B50" w:rsidRPr="00BB0F70">
        <w:rPr>
          <w:rFonts w:ascii="Times New Roman" w:hAnsi="Times New Roman" w:cs="Times New Roman"/>
          <w:sz w:val="28"/>
          <w:szCs w:val="28"/>
        </w:rPr>
        <w:t>ая</w:t>
      </w:r>
      <w:r w:rsidR="003D272E" w:rsidRPr="00BB0F70">
        <w:rPr>
          <w:rFonts w:ascii="Times New Roman" w:hAnsi="Times New Roman" w:cs="Times New Roman"/>
          <w:sz w:val="28"/>
          <w:szCs w:val="28"/>
        </w:rPr>
        <w:t xml:space="preserve"> оценк</w:t>
      </w:r>
      <w:r w:rsidR="00E64B50" w:rsidRPr="00BB0F70">
        <w:rPr>
          <w:rFonts w:ascii="Times New Roman" w:hAnsi="Times New Roman" w:cs="Times New Roman"/>
          <w:sz w:val="28"/>
          <w:szCs w:val="28"/>
        </w:rPr>
        <w:t>а</w:t>
      </w:r>
      <w:r w:rsidR="003D272E" w:rsidRPr="00BB0F70">
        <w:rPr>
          <w:rFonts w:ascii="Times New Roman" w:hAnsi="Times New Roman" w:cs="Times New Roman"/>
          <w:sz w:val="28"/>
          <w:szCs w:val="28"/>
        </w:rPr>
        <w:t xml:space="preserve"> эффекти</w:t>
      </w:r>
      <w:r w:rsidR="00395F0C">
        <w:rPr>
          <w:rFonts w:ascii="Times New Roman" w:hAnsi="Times New Roman" w:cs="Times New Roman"/>
          <w:sz w:val="28"/>
          <w:szCs w:val="28"/>
        </w:rPr>
        <w:t xml:space="preserve">вности деятельности заказчиков городского округа </w:t>
      </w:r>
      <w:r w:rsidR="003D272E" w:rsidRPr="00BB0F70">
        <w:rPr>
          <w:rFonts w:ascii="Times New Roman" w:hAnsi="Times New Roman" w:cs="Times New Roman"/>
          <w:sz w:val="28"/>
          <w:szCs w:val="28"/>
        </w:rPr>
        <w:t xml:space="preserve">«город Якутск» </w:t>
      </w:r>
      <w:r w:rsidR="000A1D49" w:rsidRPr="00BB0F70">
        <w:rPr>
          <w:rFonts w:ascii="Times New Roman" w:hAnsi="Times New Roman" w:cs="Times New Roman"/>
          <w:sz w:val="28"/>
          <w:szCs w:val="28"/>
        </w:rPr>
        <w:t>2016 г</w:t>
      </w:r>
      <w:r w:rsidR="00364519">
        <w:rPr>
          <w:rFonts w:ascii="Times New Roman" w:hAnsi="Times New Roman" w:cs="Times New Roman"/>
          <w:sz w:val="28"/>
          <w:szCs w:val="28"/>
        </w:rPr>
        <w:t>од</w:t>
      </w:r>
      <w:r w:rsidR="000A1D49" w:rsidRPr="00BB0F70">
        <w:rPr>
          <w:rFonts w:ascii="Times New Roman" w:hAnsi="Times New Roman" w:cs="Times New Roman"/>
          <w:sz w:val="28"/>
          <w:szCs w:val="28"/>
        </w:rPr>
        <w:t>.</w:t>
      </w:r>
      <w:r w:rsidR="00851B25" w:rsidRPr="00BB0F70">
        <w:rPr>
          <w:rFonts w:ascii="Times New Roman" w:hAnsi="Times New Roman" w:cs="Times New Roman"/>
          <w:sz w:val="28"/>
          <w:szCs w:val="28"/>
        </w:rPr>
        <w:t xml:space="preserve"> </w:t>
      </w:r>
    </w:p>
    <w:p w:rsidR="00BD7E4A" w:rsidRDefault="00BD7E4A" w:rsidP="00536C5D">
      <w:pPr>
        <w:tabs>
          <w:tab w:val="left" w:pos="993"/>
        </w:tabs>
        <w:jc w:val="both"/>
        <w:rPr>
          <w:rFonts w:ascii="Times New Roman" w:hAnsi="Times New Roman" w:cs="Times New Roman"/>
          <w:sz w:val="24"/>
          <w:szCs w:val="24"/>
          <w:highlight w:val="yellow"/>
        </w:rPr>
      </w:pPr>
      <w:r>
        <w:rPr>
          <w:rFonts w:ascii="Times New Roman" w:hAnsi="Times New Roman" w:cs="Times New Roman"/>
          <w:noProof/>
          <w:sz w:val="28"/>
          <w:szCs w:val="28"/>
          <w:lang w:eastAsia="ru-RU"/>
        </w:rPr>
        <w:drawing>
          <wp:inline distT="0" distB="0" distL="0" distR="0" wp14:anchorId="3FFEACC0" wp14:editId="28360ABB">
            <wp:extent cx="5772150" cy="3438525"/>
            <wp:effectExtent l="0" t="0" r="0"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bl>
      <w:tblPr>
        <w:tblStyle w:val="a4"/>
        <w:tblW w:w="9558" w:type="dxa"/>
        <w:jc w:val="center"/>
        <w:tblLook w:val="04A0" w:firstRow="1" w:lastRow="0" w:firstColumn="1" w:lastColumn="0" w:noHBand="0" w:noVBand="1"/>
      </w:tblPr>
      <w:tblGrid>
        <w:gridCol w:w="3335"/>
        <w:gridCol w:w="1761"/>
        <w:gridCol w:w="2231"/>
        <w:gridCol w:w="2231"/>
      </w:tblGrid>
      <w:tr w:rsidR="00E62839" w:rsidRPr="00E62839" w:rsidTr="00D47299">
        <w:trPr>
          <w:jc w:val="center"/>
        </w:trPr>
        <w:tc>
          <w:tcPr>
            <w:tcW w:w="3335" w:type="dxa"/>
            <w:vAlign w:val="center"/>
          </w:tcPr>
          <w:p w:rsidR="00E62839" w:rsidRPr="00434BD5" w:rsidRDefault="00E62839" w:rsidP="00E62839">
            <w:pPr>
              <w:pStyle w:val="a5"/>
              <w:jc w:val="center"/>
              <w:rPr>
                <w:rFonts w:ascii="Times New Roman" w:hAnsi="Times New Roman" w:cs="Times New Roman"/>
                <w:b/>
                <w:sz w:val="24"/>
                <w:szCs w:val="24"/>
              </w:rPr>
            </w:pPr>
            <w:r w:rsidRPr="00434BD5">
              <w:rPr>
                <w:rFonts w:ascii="Times New Roman" w:hAnsi="Times New Roman" w:cs="Times New Roman"/>
                <w:b/>
                <w:sz w:val="24"/>
                <w:szCs w:val="24"/>
              </w:rPr>
              <w:t>Способ определения</w:t>
            </w:r>
          </w:p>
          <w:p w:rsidR="00E62839" w:rsidRPr="00434BD5" w:rsidRDefault="00E62839" w:rsidP="00E62839">
            <w:pPr>
              <w:pStyle w:val="a5"/>
              <w:jc w:val="center"/>
              <w:rPr>
                <w:rFonts w:ascii="Times New Roman" w:hAnsi="Times New Roman" w:cs="Times New Roman"/>
                <w:b/>
                <w:sz w:val="24"/>
                <w:szCs w:val="24"/>
              </w:rPr>
            </w:pPr>
            <w:r w:rsidRPr="00434BD5">
              <w:rPr>
                <w:rFonts w:ascii="Times New Roman" w:hAnsi="Times New Roman" w:cs="Times New Roman"/>
                <w:b/>
                <w:sz w:val="24"/>
                <w:szCs w:val="24"/>
              </w:rPr>
              <w:t>поставщика (подрядчика, исполнителя)</w:t>
            </w:r>
          </w:p>
        </w:tc>
        <w:tc>
          <w:tcPr>
            <w:tcW w:w="1761" w:type="dxa"/>
            <w:vAlign w:val="center"/>
          </w:tcPr>
          <w:p w:rsidR="00E62839" w:rsidRPr="00434BD5" w:rsidRDefault="00E62839" w:rsidP="00E62839">
            <w:pPr>
              <w:pStyle w:val="a5"/>
              <w:jc w:val="center"/>
              <w:rPr>
                <w:rFonts w:ascii="Times New Roman" w:hAnsi="Times New Roman" w:cs="Times New Roman"/>
                <w:b/>
                <w:sz w:val="24"/>
                <w:szCs w:val="24"/>
              </w:rPr>
            </w:pPr>
            <w:r w:rsidRPr="00434BD5">
              <w:rPr>
                <w:rFonts w:ascii="Times New Roman" w:hAnsi="Times New Roman" w:cs="Times New Roman"/>
                <w:b/>
                <w:sz w:val="24"/>
                <w:szCs w:val="24"/>
              </w:rPr>
              <w:t>Количество</w:t>
            </w:r>
          </w:p>
          <w:p w:rsidR="00E62839" w:rsidRPr="00434BD5" w:rsidRDefault="00E62839" w:rsidP="00E62839">
            <w:pPr>
              <w:pStyle w:val="a5"/>
              <w:jc w:val="center"/>
              <w:rPr>
                <w:rFonts w:ascii="Times New Roman" w:hAnsi="Times New Roman" w:cs="Times New Roman"/>
                <w:b/>
                <w:sz w:val="24"/>
                <w:szCs w:val="24"/>
              </w:rPr>
            </w:pPr>
            <w:r w:rsidRPr="00434BD5">
              <w:rPr>
                <w:rFonts w:ascii="Times New Roman" w:hAnsi="Times New Roman" w:cs="Times New Roman"/>
                <w:b/>
                <w:sz w:val="24"/>
                <w:szCs w:val="24"/>
              </w:rPr>
              <w:t>закупок</w:t>
            </w:r>
          </w:p>
        </w:tc>
        <w:tc>
          <w:tcPr>
            <w:tcW w:w="2231" w:type="dxa"/>
            <w:vAlign w:val="center"/>
          </w:tcPr>
          <w:p w:rsidR="00E62839" w:rsidRPr="00434BD5" w:rsidRDefault="00E62839" w:rsidP="00E62839">
            <w:pPr>
              <w:pStyle w:val="a5"/>
              <w:jc w:val="center"/>
              <w:rPr>
                <w:rFonts w:ascii="Times New Roman" w:hAnsi="Times New Roman" w:cs="Times New Roman"/>
                <w:b/>
                <w:sz w:val="24"/>
                <w:szCs w:val="24"/>
              </w:rPr>
            </w:pPr>
            <w:r w:rsidRPr="00434BD5">
              <w:rPr>
                <w:rFonts w:ascii="Times New Roman" w:hAnsi="Times New Roman" w:cs="Times New Roman"/>
                <w:b/>
                <w:sz w:val="24"/>
                <w:szCs w:val="24"/>
              </w:rPr>
              <w:t>Объем</w:t>
            </w:r>
          </w:p>
          <w:p w:rsidR="00E62839" w:rsidRPr="00434BD5" w:rsidRDefault="00E62839" w:rsidP="00E62839">
            <w:pPr>
              <w:pStyle w:val="a5"/>
              <w:jc w:val="center"/>
              <w:rPr>
                <w:rFonts w:ascii="Times New Roman" w:hAnsi="Times New Roman" w:cs="Times New Roman"/>
                <w:b/>
                <w:sz w:val="24"/>
                <w:szCs w:val="24"/>
              </w:rPr>
            </w:pPr>
            <w:r w:rsidRPr="00434BD5">
              <w:rPr>
                <w:rFonts w:ascii="Times New Roman" w:hAnsi="Times New Roman" w:cs="Times New Roman"/>
                <w:b/>
                <w:sz w:val="24"/>
                <w:szCs w:val="24"/>
              </w:rPr>
              <w:t>осуществленных закупок,</w:t>
            </w:r>
          </w:p>
          <w:p w:rsidR="00E62839" w:rsidRPr="00434BD5" w:rsidRDefault="00E62839" w:rsidP="00E62839">
            <w:pPr>
              <w:pStyle w:val="a5"/>
              <w:jc w:val="center"/>
              <w:rPr>
                <w:rFonts w:ascii="Times New Roman" w:hAnsi="Times New Roman" w:cs="Times New Roman"/>
                <w:b/>
                <w:sz w:val="24"/>
                <w:szCs w:val="24"/>
              </w:rPr>
            </w:pPr>
            <w:r w:rsidRPr="00434BD5">
              <w:rPr>
                <w:rFonts w:ascii="Times New Roman" w:hAnsi="Times New Roman" w:cs="Times New Roman"/>
                <w:b/>
                <w:sz w:val="24"/>
                <w:szCs w:val="24"/>
              </w:rPr>
              <w:t>руб.</w:t>
            </w:r>
          </w:p>
        </w:tc>
        <w:tc>
          <w:tcPr>
            <w:tcW w:w="2231" w:type="dxa"/>
            <w:vAlign w:val="center"/>
          </w:tcPr>
          <w:p w:rsidR="00E62839" w:rsidRPr="00434BD5" w:rsidRDefault="00E62839" w:rsidP="00E62839">
            <w:pPr>
              <w:pStyle w:val="a5"/>
              <w:jc w:val="center"/>
              <w:rPr>
                <w:rFonts w:ascii="Times New Roman" w:hAnsi="Times New Roman" w:cs="Times New Roman"/>
                <w:b/>
                <w:sz w:val="24"/>
                <w:szCs w:val="24"/>
              </w:rPr>
            </w:pPr>
            <w:r w:rsidRPr="00434BD5">
              <w:rPr>
                <w:rFonts w:ascii="Times New Roman" w:hAnsi="Times New Roman" w:cs="Times New Roman"/>
                <w:b/>
                <w:sz w:val="24"/>
                <w:szCs w:val="24"/>
              </w:rPr>
              <w:t>Доля</w:t>
            </w:r>
          </w:p>
          <w:p w:rsidR="00E62839" w:rsidRPr="00434BD5" w:rsidRDefault="00E62839" w:rsidP="00E62839">
            <w:pPr>
              <w:pStyle w:val="a5"/>
              <w:jc w:val="center"/>
              <w:rPr>
                <w:rFonts w:ascii="Times New Roman" w:hAnsi="Times New Roman" w:cs="Times New Roman"/>
                <w:b/>
                <w:sz w:val="24"/>
                <w:szCs w:val="24"/>
              </w:rPr>
            </w:pPr>
            <w:r w:rsidRPr="00434BD5">
              <w:rPr>
                <w:rFonts w:ascii="Times New Roman" w:hAnsi="Times New Roman" w:cs="Times New Roman"/>
                <w:b/>
                <w:sz w:val="24"/>
                <w:szCs w:val="24"/>
              </w:rPr>
              <w:t>от размещенного объема закупок, %</w:t>
            </w:r>
          </w:p>
        </w:tc>
      </w:tr>
      <w:tr w:rsidR="00E62839" w:rsidRPr="00E62839" w:rsidTr="00D47299">
        <w:trPr>
          <w:trHeight w:val="415"/>
          <w:jc w:val="center"/>
        </w:trPr>
        <w:tc>
          <w:tcPr>
            <w:tcW w:w="3335" w:type="dxa"/>
            <w:vAlign w:val="center"/>
          </w:tcPr>
          <w:p w:rsidR="00E62839" w:rsidRPr="00E62839" w:rsidRDefault="00E62839" w:rsidP="00E62839">
            <w:pPr>
              <w:pStyle w:val="a5"/>
              <w:jc w:val="both"/>
              <w:rPr>
                <w:rFonts w:ascii="Times New Roman" w:hAnsi="Times New Roman" w:cs="Times New Roman"/>
                <w:sz w:val="24"/>
                <w:szCs w:val="24"/>
              </w:rPr>
            </w:pPr>
            <w:r w:rsidRPr="00E62839">
              <w:rPr>
                <w:rFonts w:ascii="Times New Roman" w:hAnsi="Times New Roman" w:cs="Times New Roman"/>
                <w:sz w:val="24"/>
                <w:szCs w:val="24"/>
              </w:rPr>
              <w:t>Электронный аукцион</w:t>
            </w:r>
          </w:p>
        </w:tc>
        <w:tc>
          <w:tcPr>
            <w:tcW w:w="1761" w:type="dxa"/>
            <w:vAlign w:val="center"/>
          </w:tcPr>
          <w:p w:rsidR="00E62839" w:rsidRPr="003B573F" w:rsidRDefault="003B573F" w:rsidP="00E62839">
            <w:pPr>
              <w:pStyle w:val="a5"/>
              <w:jc w:val="center"/>
              <w:rPr>
                <w:rFonts w:ascii="Times New Roman" w:hAnsi="Times New Roman" w:cs="Times New Roman"/>
                <w:sz w:val="24"/>
                <w:szCs w:val="24"/>
                <w:lang w:val="en-US"/>
              </w:rPr>
            </w:pPr>
            <w:r>
              <w:rPr>
                <w:rFonts w:ascii="Times New Roman" w:hAnsi="Times New Roman" w:cs="Times New Roman"/>
                <w:sz w:val="24"/>
                <w:szCs w:val="24"/>
                <w:lang w:val="en-US"/>
              </w:rPr>
              <w:t>931</w:t>
            </w:r>
          </w:p>
        </w:tc>
        <w:tc>
          <w:tcPr>
            <w:tcW w:w="2231" w:type="dxa"/>
            <w:vAlign w:val="center"/>
          </w:tcPr>
          <w:p w:rsidR="00E62839" w:rsidRPr="00E62839" w:rsidRDefault="003B573F" w:rsidP="00E62839">
            <w:pPr>
              <w:pStyle w:val="a5"/>
              <w:jc w:val="center"/>
              <w:rPr>
                <w:rFonts w:ascii="Times New Roman" w:hAnsi="Times New Roman" w:cs="Times New Roman"/>
                <w:sz w:val="24"/>
                <w:szCs w:val="24"/>
              </w:rPr>
            </w:pPr>
            <w:r w:rsidRPr="003B573F">
              <w:rPr>
                <w:rFonts w:ascii="Times New Roman" w:hAnsi="Times New Roman" w:cs="Times New Roman"/>
                <w:sz w:val="24"/>
                <w:szCs w:val="24"/>
              </w:rPr>
              <w:t>3 854 656 007,25</w:t>
            </w:r>
          </w:p>
        </w:tc>
        <w:tc>
          <w:tcPr>
            <w:tcW w:w="2231" w:type="dxa"/>
            <w:vAlign w:val="center"/>
          </w:tcPr>
          <w:p w:rsidR="00E62839" w:rsidRPr="00E62839" w:rsidRDefault="00116BB0" w:rsidP="00E62839">
            <w:pPr>
              <w:pStyle w:val="a5"/>
              <w:jc w:val="center"/>
              <w:rPr>
                <w:rFonts w:ascii="Times New Roman" w:hAnsi="Times New Roman" w:cs="Times New Roman"/>
                <w:sz w:val="24"/>
                <w:szCs w:val="24"/>
              </w:rPr>
            </w:pPr>
            <w:r>
              <w:rPr>
                <w:rFonts w:ascii="Times New Roman" w:hAnsi="Times New Roman" w:cs="Times New Roman"/>
                <w:sz w:val="24"/>
                <w:szCs w:val="24"/>
              </w:rPr>
              <w:t>56,1</w:t>
            </w:r>
            <w:r w:rsidR="00E62839" w:rsidRPr="00E62839">
              <w:rPr>
                <w:rFonts w:ascii="Times New Roman" w:hAnsi="Times New Roman" w:cs="Times New Roman"/>
                <w:sz w:val="24"/>
                <w:szCs w:val="24"/>
              </w:rPr>
              <w:t>%</w:t>
            </w:r>
          </w:p>
        </w:tc>
      </w:tr>
      <w:tr w:rsidR="00E62839" w:rsidRPr="00E62839" w:rsidTr="00D47299">
        <w:trPr>
          <w:jc w:val="center"/>
        </w:trPr>
        <w:tc>
          <w:tcPr>
            <w:tcW w:w="3335" w:type="dxa"/>
            <w:vAlign w:val="center"/>
          </w:tcPr>
          <w:p w:rsidR="00E62839" w:rsidRPr="00E62839" w:rsidRDefault="00E62839" w:rsidP="00E62839">
            <w:pPr>
              <w:pStyle w:val="a5"/>
              <w:jc w:val="both"/>
              <w:rPr>
                <w:rFonts w:ascii="Times New Roman" w:hAnsi="Times New Roman" w:cs="Times New Roman"/>
                <w:sz w:val="24"/>
                <w:szCs w:val="24"/>
              </w:rPr>
            </w:pPr>
            <w:r w:rsidRPr="00E62839">
              <w:rPr>
                <w:rFonts w:ascii="Times New Roman" w:hAnsi="Times New Roman" w:cs="Times New Roman"/>
                <w:sz w:val="24"/>
                <w:szCs w:val="24"/>
              </w:rPr>
              <w:t>Открытый конкурс</w:t>
            </w:r>
          </w:p>
        </w:tc>
        <w:tc>
          <w:tcPr>
            <w:tcW w:w="1761" w:type="dxa"/>
            <w:vAlign w:val="center"/>
          </w:tcPr>
          <w:p w:rsidR="00E62839" w:rsidRPr="003B573F" w:rsidRDefault="003B573F" w:rsidP="00E62839">
            <w:pPr>
              <w:pStyle w:val="a5"/>
              <w:jc w:val="center"/>
              <w:rPr>
                <w:rFonts w:ascii="Times New Roman" w:hAnsi="Times New Roman" w:cs="Times New Roman"/>
                <w:sz w:val="24"/>
                <w:szCs w:val="24"/>
                <w:lang w:val="en-US"/>
              </w:rPr>
            </w:pPr>
            <w:r>
              <w:rPr>
                <w:rFonts w:ascii="Times New Roman" w:hAnsi="Times New Roman" w:cs="Times New Roman"/>
                <w:sz w:val="24"/>
                <w:szCs w:val="24"/>
                <w:lang w:val="en-US"/>
              </w:rPr>
              <w:t>122</w:t>
            </w:r>
          </w:p>
        </w:tc>
        <w:tc>
          <w:tcPr>
            <w:tcW w:w="2231" w:type="dxa"/>
            <w:vAlign w:val="center"/>
          </w:tcPr>
          <w:p w:rsidR="00E62839" w:rsidRPr="00E62839" w:rsidRDefault="003B573F" w:rsidP="00E62839">
            <w:pPr>
              <w:pStyle w:val="a5"/>
              <w:jc w:val="center"/>
              <w:rPr>
                <w:rFonts w:ascii="Times New Roman" w:hAnsi="Times New Roman" w:cs="Times New Roman"/>
                <w:sz w:val="24"/>
                <w:szCs w:val="24"/>
              </w:rPr>
            </w:pPr>
            <w:r w:rsidRPr="003B573F">
              <w:rPr>
                <w:rFonts w:ascii="Times New Roman" w:hAnsi="Times New Roman" w:cs="Times New Roman"/>
                <w:sz w:val="24"/>
                <w:szCs w:val="24"/>
              </w:rPr>
              <w:t>1 164 607 935,28</w:t>
            </w:r>
          </w:p>
        </w:tc>
        <w:tc>
          <w:tcPr>
            <w:tcW w:w="2231" w:type="dxa"/>
            <w:vAlign w:val="center"/>
          </w:tcPr>
          <w:p w:rsidR="00E62839" w:rsidRPr="00E62839" w:rsidRDefault="00116BB0" w:rsidP="002D3381">
            <w:pPr>
              <w:pStyle w:val="a5"/>
              <w:jc w:val="center"/>
              <w:rPr>
                <w:rFonts w:ascii="Times New Roman" w:hAnsi="Times New Roman" w:cs="Times New Roman"/>
                <w:sz w:val="24"/>
                <w:szCs w:val="24"/>
              </w:rPr>
            </w:pPr>
            <w:r>
              <w:rPr>
                <w:rFonts w:ascii="Times New Roman" w:hAnsi="Times New Roman" w:cs="Times New Roman"/>
                <w:sz w:val="24"/>
                <w:szCs w:val="24"/>
              </w:rPr>
              <w:t>17</w:t>
            </w:r>
            <w:r w:rsidR="00E62839" w:rsidRPr="00E62839">
              <w:rPr>
                <w:rFonts w:ascii="Times New Roman" w:hAnsi="Times New Roman" w:cs="Times New Roman"/>
                <w:sz w:val="24"/>
                <w:szCs w:val="24"/>
              </w:rPr>
              <w:t>%</w:t>
            </w:r>
          </w:p>
        </w:tc>
      </w:tr>
      <w:tr w:rsidR="00E62839" w:rsidRPr="00E62839" w:rsidTr="00D47299">
        <w:trPr>
          <w:jc w:val="center"/>
        </w:trPr>
        <w:tc>
          <w:tcPr>
            <w:tcW w:w="3335" w:type="dxa"/>
            <w:vAlign w:val="center"/>
          </w:tcPr>
          <w:p w:rsidR="00E62839" w:rsidRPr="00E62839" w:rsidRDefault="00E62839" w:rsidP="00E62839">
            <w:pPr>
              <w:pStyle w:val="a5"/>
              <w:jc w:val="both"/>
              <w:rPr>
                <w:rFonts w:ascii="Times New Roman" w:hAnsi="Times New Roman" w:cs="Times New Roman"/>
                <w:sz w:val="24"/>
                <w:szCs w:val="24"/>
              </w:rPr>
            </w:pPr>
            <w:r w:rsidRPr="00E62839">
              <w:rPr>
                <w:rFonts w:ascii="Times New Roman" w:hAnsi="Times New Roman" w:cs="Times New Roman"/>
                <w:sz w:val="24"/>
                <w:szCs w:val="24"/>
              </w:rPr>
              <w:t>Запрос котировок</w:t>
            </w:r>
          </w:p>
        </w:tc>
        <w:tc>
          <w:tcPr>
            <w:tcW w:w="1761" w:type="dxa"/>
            <w:vAlign w:val="center"/>
          </w:tcPr>
          <w:p w:rsidR="00E62839" w:rsidRPr="003B573F" w:rsidRDefault="003B573F" w:rsidP="00E62839">
            <w:pPr>
              <w:pStyle w:val="a5"/>
              <w:jc w:val="center"/>
              <w:rPr>
                <w:rFonts w:ascii="Times New Roman" w:hAnsi="Times New Roman" w:cs="Times New Roman"/>
                <w:sz w:val="24"/>
                <w:szCs w:val="24"/>
                <w:lang w:val="en-US"/>
              </w:rPr>
            </w:pPr>
            <w:r>
              <w:rPr>
                <w:rFonts w:ascii="Times New Roman" w:hAnsi="Times New Roman" w:cs="Times New Roman"/>
                <w:sz w:val="24"/>
                <w:szCs w:val="24"/>
                <w:lang w:val="en-US"/>
              </w:rPr>
              <w:t>405</w:t>
            </w:r>
          </w:p>
        </w:tc>
        <w:tc>
          <w:tcPr>
            <w:tcW w:w="2231" w:type="dxa"/>
            <w:vAlign w:val="center"/>
          </w:tcPr>
          <w:p w:rsidR="00E62839" w:rsidRPr="00E62839" w:rsidRDefault="003B573F" w:rsidP="00E62839">
            <w:pPr>
              <w:pStyle w:val="a5"/>
              <w:jc w:val="center"/>
              <w:rPr>
                <w:rFonts w:ascii="Times New Roman" w:hAnsi="Times New Roman" w:cs="Times New Roman"/>
                <w:sz w:val="24"/>
                <w:szCs w:val="24"/>
              </w:rPr>
            </w:pPr>
            <w:r w:rsidRPr="003B573F">
              <w:rPr>
                <w:rFonts w:ascii="Times New Roman" w:hAnsi="Times New Roman" w:cs="Times New Roman"/>
                <w:sz w:val="24"/>
                <w:szCs w:val="24"/>
              </w:rPr>
              <w:t>82 873 475,27</w:t>
            </w:r>
          </w:p>
        </w:tc>
        <w:tc>
          <w:tcPr>
            <w:tcW w:w="2231" w:type="dxa"/>
            <w:vAlign w:val="center"/>
          </w:tcPr>
          <w:p w:rsidR="00E62839" w:rsidRPr="00E62839" w:rsidRDefault="00977DDD" w:rsidP="00116BB0">
            <w:pPr>
              <w:pStyle w:val="a5"/>
              <w:jc w:val="center"/>
              <w:rPr>
                <w:rFonts w:ascii="Times New Roman" w:hAnsi="Times New Roman" w:cs="Times New Roman"/>
                <w:sz w:val="24"/>
                <w:szCs w:val="24"/>
              </w:rPr>
            </w:pPr>
            <w:r>
              <w:rPr>
                <w:rFonts w:ascii="Times New Roman" w:hAnsi="Times New Roman" w:cs="Times New Roman"/>
                <w:sz w:val="24"/>
                <w:szCs w:val="24"/>
              </w:rPr>
              <w:t>1</w:t>
            </w:r>
            <w:r w:rsidR="00240A87">
              <w:rPr>
                <w:rFonts w:ascii="Times New Roman" w:hAnsi="Times New Roman" w:cs="Times New Roman"/>
                <w:sz w:val="24"/>
                <w:szCs w:val="24"/>
              </w:rPr>
              <w:t>,</w:t>
            </w:r>
            <w:r w:rsidR="00116BB0">
              <w:rPr>
                <w:rFonts w:ascii="Times New Roman" w:hAnsi="Times New Roman" w:cs="Times New Roman"/>
                <w:sz w:val="24"/>
                <w:szCs w:val="24"/>
              </w:rPr>
              <w:t>2</w:t>
            </w:r>
            <w:r w:rsidR="00E62839" w:rsidRPr="00E62839">
              <w:rPr>
                <w:rFonts w:ascii="Times New Roman" w:hAnsi="Times New Roman" w:cs="Times New Roman"/>
                <w:sz w:val="24"/>
                <w:szCs w:val="24"/>
              </w:rPr>
              <w:t>%</w:t>
            </w:r>
          </w:p>
        </w:tc>
      </w:tr>
      <w:tr w:rsidR="00E62839" w:rsidRPr="00E62839" w:rsidTr="00D47299">
        <w:trPr>
          <w:jc w:val="center"/>
        </w:trPr>
        <w:tc>
          <w:tcPr>
            <w:tcW w:w="3335" w:type="dxa"/>
            <w:vAlign w:val="center"/>
          </w:tcPr>
          <w:p w:rsidR="00E62839" w:rsidRPr="00E62839" w:rsidRDefault="00E62839" w:rsidP="00E62839">
            <w:pPr>
              <w:pStyle w:val="a5"/>
              <w:jc w:val="both"/>
              <w:rPr>
                <w:rFonts w:ascii="Times New Roman" w:hAnsi="Times New Roman" w:cs="Times New Roman"/>
                <w:sz w:val="24"/>
                <w:szCs w:val="24"/>
              </w:rPr>
            </w:pPr>
            <w:r w:rsidRPr="00E62839">
              <w:rPr>
                <w:rFonts w:ascii="Times New Roman" w:hAnsi="Times New Roman" w:cs="Times New Roman"/>
                <w:sz w:val="24"/>
                <w:szCs w:val="24"/>
              </w:rPr>
              <w:t>Запрос предложений</w:t>
            </w:r>
          </w:p>
        </w:tc>
        <w:tc>
          <w:tcPr>
            <w:tcW w:w="1761" w:type="dxa"/>
            <w:vAlign w:val="center"/>
          </w:tcPr>
          <w:p w:rsidR="00E62839" w:rsidRPr="003B573F" w:rsidRDefault="003B573F" w:rsidP="00E62839">
            <w:pPr>
              <w:pStyle w:val="a5"/>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2231" w:type="dxa"/>
            <w:vAlign w:val="center"/>
          </w:tcPr>
          <w:p w:rsidR="00E62839" w:rsidRPr="00E62839" w:rsidRDefault="003B573F" w:rsidP="00E62839">
            <w:pPr>
              <w:pStyle w:val="a5"/>
              <w:jc w:val="center"/>
              <w:rPr>
                <w:rFonts w:ascii="Times New Roman" w:hAnsi="Times New Roman" w:cs="Times New Roman"/>
                <w:sz w:val="24"/>
                <w:szCs w:val="24"/>
              </w:rPr>
            </w:pPr>
            <w:r w:rsidRPr="003B573F">
              <w:rPr>
                <w:rFonts w:ascii="Times New Roman" w:hAnsi="Times New Roman" w:cs="Times New Roman"/>
                <w:sz w:val="24"/>
                <w:szCs w:val="24"/>
              </w:rPr>
              <w:t>8 963 576,71</w:t>
            </w:r>
          </w:p>
        </w:tc>
        <w:tc>
          <w:tcPr>
            <w:tcW w:w="2231" w:type="dxa"/>
            <w:vAlign w:val="center"/>
          </w:tcPr>
          <w:p w:rsidR="00E62839" w:rsidRPr="00E62839" w:rsidRDefault="00977DDD" w:rsidP="00116BB0">
            <w:pPr>
              <w:pStyle w:val="a5"/>
              <w:jc w:val="center"/>
              <w:rPr>
                <w:rFonts w:ascii="Times New Roman" w:hAnsi="Times New Roman" w:cs="Times New Roman"/>
                <w:sz w:val="24"/>
                <w:szCs w:val="24"/>
              </w:rPr>
            </w:pPr>
            <w:r>
              <w:rPr>
                <w:rFonts w:ascii="Times New Roman" w:hAnsi="Times New Roman" w:cs="Times New Roman"/>
                <w:sz w:val="24"/>
                <w:szCs w:val="24"/>
              </w:rPr>
              <w:t>0,</w:t>
            </w:r>
            <w:r w:rsidR="00116BB0">
              <w:rPr>
                <w:rFonts w:ascii="Times New Roman" w:hAnsi="Times New Roman" w:cs="Times New Roman"/>
                <w:sz w:val="24"/>
                <w:szCs w:val="24"/>
              </w:rPr>
              <w:t>1</w:t>
            </w:r>
            <w:r w:rsidR="00F95824">
              <w:rPr>
                <w:rFonts w:ascii="Times New Roman" w:hAnsi="Times New Roman" w:cs="Times New Roman"/>
                <w:sz w:val="24"/>
                <w:szCs w:val="24"/>
              </w:rPr>
              <w:t>%</w:t>
            </w:r>
          </w:p>
        </w:tc>
      </w:tr>
      <w:tr w:rsidR="00E62839" w:rsidRPr="00E62839" w:rsidTr="00D47299">
        <w:trPr>
          <w:jc w:val="center"/>
        </w:trPr>
        <w:tc>
          <w:tcPr>
            <w:tcW w:w="3335" w:type="dxa"/>
            <w:vAlign w:val="center"/>
          </w:tcPr>
          <w:p w:rsidR="00E62839" w:rsidRPr="00B32C9C" w:rsidRDefault="00E62839" w:rsidP="00E62839">
            <w:pPr>
              <w:pStyle w:val="a5"/>
              <w:jc w:val="both"/>
              <w:rPr>
                <w:rFonts w:ascii="Times New Roman" w:hAnsi="Times New Roman" w:cs="Times New Roman"/>
                <w:b/>
                <w:sz w:val="24"/>
                <w:szCs w:val="24"/>
              </w:rPr>
            </w:pPr>
            <w:r w:rsidRPr="00B32C9C">
              <w:rPr>
                <w:rFonts w:ascii="Times New Roman" w:hAnsi="Times New Roman" w:cs="Times New Roman"/>
                <w:b/>
                <w:sz w:val="24"/>
                <w:szCs w:val="24"/>
              </w:rPr>
              <w:t>Итого конкурентными способами</w:t>
            </w:r>
          </w:p>
        </w:tc>
        <w:tc>
          <w:tcPr>
            <w:tcW w:w="1761" w:type="dxa"/>
            <w:vAlign w:val="center"/>
          </w:tcPr>
          <w:p w:rsidR="00E62839" w:rsidRPr="003B573F" w:rsidRDefault="003B573F" w:rsidP="00E62839">
            <w:pPr>
              <w:pStyle w:val="a5"/>
              <w:jc w:val="center"/>
              <w:rPr>
                <w:rFonts w:ascii="Times New Roman" w:hAnsi="Times New Roman" w:cs="Times New Roman"/>
                <w:b/>
                <w:sz w:val="24"/>
                <w:szCs w:val="24"/>
                <w:lang w:val="en-US"/>
              </w:rPr>
            </w:pPr>
            <w:r>
              <w:rPr>
                <w:rFonts w:ascii="Times New Roman" w:hAnsi="Times New Roman" w:cs="Times New Roman"/>
                <w:b/>
                <w:sz w:val="24"/>
                <w:szCs w:val="24"/>
                <w:lang w:val="en-US"/>
              </w:rPr>
              <w:t>1 468</w:t>
            </w:r>
          </w:p>
        </w:tc>
        <w:tc>
          <w:tcPr>
            <w:tcW w:w="2231" w:type="dxa"/>
            <w:vAlign w:val="center"/>
          </w:tcPr>
          <w:p w:rsidR="00E62839" w:rsidRPr="00B32C9C" w:rsidRDefault="003B573F" w:rsidP="00E62839">
            <w:pPr>
              <w:pStyle w:val="a5"/>
              <w:jc w:val="center"/>
              <w:rPr>
                <w:rFonts w:ascii="Times New Roman" w:hAnsi="Times New Roman" w:cs="Times New Roman"/>
                <w:b/>
                <w:sz w:val="24"/>
                <w:szCs w:val="24"/>
              </w:rPr>
            </w:pPr>
            <w:r w:rsidRPr="003B573F">
              <w:rPr>
                <w:rFonts w:ascii="Times New Roman" w:hAnsi="Times New Roman" w:cs="Times New Roman"/>
                <w:b/>
                <w:sz w:val="24"/>
                <w:szCs w:val="24"/>
              </w:rPr>
              <w:t>5 111 100 994,51</w:t>
            </w:r>
          </w:p>
        </w:tc>
        <w:tc>
          <w:tcPr>
            <w:tcW w:w="2231" w:type="dxa"/>
            <w:vAlign w:val="center"/>
          </w:tcPr>
          <w:p w:rsidR="00E62839" w:rsidRPr="00B32C9C" w:rsidRDefault="00116BB0" w:rsidP="00997C24">
            <w:pPr>
              <w:pStyle w:val="a5"/>
              <w:jc w:val="center"/>
              <w:rPr>
                <w:rFonts w:ascii="Times New Roman" w:hAnsi="Times New Roman" w:cs="Times New Roman"/>
                <w:b/>
                <w:sz w:val="24"/>
                <w:szCs w:val="24"/>
              </w:rPr>
            </w:pPr>
            <w:r>
              <w:rPr>
                <w:rFonts w:ascii="Times New Roman" w:hAnsi="Times New Roman" w:cs="Times New Roman"/>
                <w:b/>
                <w:sz w:val="24"/>
                <w:szCs w:val="24"/>
              </w:rPr>
              <w:t>74</w:t>
            </w:r>
            <w:r w:rsidR="00240A87">
              <w:rPr>
                <w:rFonts w:ascii="Times New Roman" w:hAnsi="Times New Roman" w:cs="Times New Roman"/>
                <w:b/>
                <w:sz w:val="24"/>
                <w:szCs w:val="24"/>
              </w:rPr>
              <w:t>,4</w:t>
            </w:r>
            <w:r w:rsidR="00E62839" w:rsidRPr="00B32C9C">
              <w:rPr>
                <w:rFonts w:ascii="Times New Roman" w:hAnsi="Times New Roman" w:cs="Times New Roman"/>
                <w:b/>
                <w:sz w:val="24"/>
                <w:szCs w:val="24"/>
              </w:rPr>
              <w:t>%</w:t>
            </w:r>
          </w:p>
        </w:tc>
      </w:tr>
      <w:tr w:rsidR="00E62839" w:rsidRPr="00E62839" w:rsidTr="00D47299">
        <w:trPr>
          <w:jc w:val="center"/>
        </w:trPr>
        <w:tc>
          <w:tcPr>
            <w:tcW w:w="3335" w:type="dxa"/>
            <w:vAlign w:val="center"/>
          </w:tcPr>
          <w:p w:rsidR="00E62839" w:rsidRPr="00E62839" w:rsidRDefault="00E62839" w:rsidP="00E62839">
            <w:pPr>
              <w:pStyle w:val="a5"/>
              <w:jc w:val="both"/>
              <w:rPr>
                <w:rFonts w:ascii="Times New Roman" w:hAnsi="Times New Roman" w:cs="Times New Roman"/>
                <w:sz w:val="24"/>
                <w:szCs w:val="24"/>
              </w:rPr>
            </w:pPr>
            <w:r w:rsidRPr="00E62839">
              <w:rPr>
                <w:rFonts w:ascii="Times New Roman" w:hAnsi="Times New Roman" w:cs="Times New Roman"/>
                <w:sz w:val="24"/>
                <w:szCs w:val="24"/>
              </w:rPr>
              <w:t>Единственный поставщик (ст. 93 Закона о контрактной системе)</w:t>
            </w:r>
          </w:p>
        </w:tc>
        <w:tc>
          <w:tcPr>
            <w:tcW w:w="1761" w:type="dxa"/>
            <w:vAlign w:val="center"/>
          </w:tcPr>
          <w:p w:rsidR="00E62839" w:rsidRPr="003B573F" w:rsidRDefault="003B573F" w:rsidP="00E62839">
            <w:pPr>
              <w:pStyle w:val="a5"/>
              <w:jc w:val="center"/>
              <w:rPr>
                <w:rFonts w:ascii="Times New Roman" w:hAnsi="Times New Roman" w:cs="Times New Roman"/>
                <w:sz w:val="24"/>
                <w:szCs w:val="24"/>
                <w:lang w:val="en-US"/>
              </w:rPr>
            </w:pPr>
            <w:r>
              <w:rPr>
                <w:rFonts w:ascii="Times New Roman" w:hAnsi="Times New Roman" w:cs="Times New Roman"/>
                <w:sz w:val="24"/>
                <w:szCs w:val="24"/>
                <w:lang w:val="en-US"/>
              </w:rPr>
              <w:t>1 471</w:t>
            </w:r>
          </w:p>
        </w:tc>
        <w:tc>
          <w:tcPr>
            <w:tcW w:w="2231" w:type="dxa"/>
            <w:vAlign w:val="center"/>
          </w:tcPr>
          <w:p w:rsidR="00E62839" w:rsidRPr="003B573F" w:rsidRDefault="003B573F" w:rsidP="003B573F">
            <w:pPr>
              <w:pStyle w:val="a5"/>
              <w:jc w:val="center"/>
              <w:rPr>
                <w:rFonts w:ascii="Times New Roman" w:hAnsi="Times New Roman" w:cs="Times New Roman"/>
                <w:sz w:val="24"/>
                <w:szCs w:val="24"/>
              </w:rPr>
            </w:pPr>
            <w:r w:rsidRPr="003B573F">
              <w:rPr>
                <w:rFonts w:ascii="Times New Roman" w:hAnsi="Times New Roman" w:cs="Times New Roman"/>
                <w:sz w:val="24"/>
                <w:szCs w:val="24"/>
              </w:rPr>
              <w:t>804</w:t>
            </w:r>
            <w:r>
              <w:rPr>
                <w:rFonts w:ascii="Times New Roman" w:hAnsi="Times New Roman" w:cs="Times New Roman"/>
                <w:sz w:val="24"/>
                <w:szCs w:val="24"/>
              </w:rPr>
              <w:t> </w:t>
            </w:r>
            <w:r w:rsidRPr="003B573F">
              <w:rPr>
                <w:rFonts w:ascii="Times New Roman" w:hAnsi="Times New Roman" w:cs="Times New Roman"/>
                <w:sz w:val="24"/>
                <w:szCs w:val="24"/>
              </w:rPr>
              <w:t>637</w:t>
            </w:r>
            <w:r>
              <w:rPr>
                <w:rFonts w:ascii="Times New Roman" w:hAnsi="Times New Roman" w:cs="Times New Roman"/>
                <w:sz w:val="24"/>
                <w:szCs w:val="24"/>
              </w:rPr>
              <w:t xml:space="preserve"> </w:t>
            </w:r>
            <w:r w:rsidRPr="003B573F">
              <w:rPr>
                <w:rFonts w:ascii="Times New Roman" w:hAnsi="Times New Roman" w:cs="Times New Roman"/>
                <w:sz w:val="24"/>
                <w:szCs w:val="24"/>
              </w:rPr>
              <w:t>46</w:t>
            </w:r>
            <w:r>
              <w:rPr>
                <w:rFonts w:ascii="Times New Roman" w:hAnsi="Times New Roman" w:cs="Times New Roman"/>
                <w:sz w:val="24"/>
                <w:szCs w:val="24"/>
                <w:lang w:val="en-US"/>
              </w:rPr>
              <w:t>0</w:t>
            </w:r>
            <w:r>
              <w:rPr>
                <w:rFonts w:ascii="Times New Roman" w:hAnsi="Times New Roman" w:cs="Times New Roman"/>
                <w:sz w:val="24"/>
                <w:szCs w:val="24"/>
              </w:rPr>
              <w:t>,00</w:t>
            </w:r>
          </w:p>
        </w:tc>
        <w:tc>
          <w:tcPr>
            <w:tcW w:w="2231" w:type="dxa"/>
            <w:vAlign w:val="center"/>
          </w:tcPr>
          <w:p w:rsidR="00E62839" w:rsidRPr="00E62839" w:rsidRDefault="00FB42F2" w:rsidP="00116BB0">
            <w:pPr>
              <w:pStyle w:val="a5"/>
              <w:jc w:val="center"/>
              <w:rPr>
                <w:rFonts w:ascii="Times New Roman" w:hAnsi="Times New Roman" w:cs="Times New Roman"/>
                <w:sz w:val="24"/>
                <w:szCs w:val="24"/>
              </w:rPr>
            </w:pPr>
            <w:r>
              <w:rPr>
                <w:rFonts w:ascii="Times New Roman" w:hAnsi="Times New Roman" w:cs="Times New Roman"/>
                <w:sz w:val="24"/>
                <w:szCs w:val="24"/>
              </w:rPr>
              <w:t>1</w:t>
            </w:r>
            <w:r w:rsidR="00116BB0">
              <w:rPr>
                <w:rFonts w:ascii="Times New Roman" w:hAnsi="Times New Roman" w:cs="Times New Roman"/>
                <w:sz w:val="24"/>
                <w:szCs w:val="24"/>
              </w:rPr>
              <w:t>1</w:t>
            </w:r>
            <w:r w:rsidR="00240A87">
              <w:rPr>
                <w:rFonts w:ascii="Times New Roman" w:hAnsi="Times New Roman" w:cs="Times New Roman"/>
                <w:sz w:val="24"/>
                <w:szCs w:val="24"/>
              </w:rPr>
              <w:t>,</w:t>
            </w:r>
            <w:r w:rsidR="00116BB0">
              <w:rPr>
                <w:rFonts w:ascii="Times New Roman" w:hAnsi="Times New Roman" w:cs="Times New Roman"/>
                <w:sz w:val="24"/>
                <w:szCs w:val="24"/>
              </w:rPr>
              <w:t>7</w:t>
            </w:r>
            <w:r>
              <w:rPr>
                <w:rFonts w:ascii="Times New Roman" w:hAnsi="Times New Roman" w:cs="Times New Roman"/>
                <w:sz w:val="24"/>
                <w:szCs w:val="24"/>
              </w:rPr>
              <w:t>%</w:t>
            </w:r>
          </w:p>
        </w:tc>
      </w:tr>
      <w:tr w:rsidR="00FB42F2" w:rsidRPr="00E62839" w:rsidTr="00D47299">
        <w:trPr>
          <w:jc w:val="center"/>
        </w:trPr>
        <w:tc>
          <w:tcPr>
            <w:tcW w:w="3335" w:type="dxa"/>
            <w:vAlign w:val="center"/>
          </w:tcPr>
          <w:p w:rsidR="00FB42F2" w:rsidRPr="00E62839" w:rsidRDefault="00FB42F2" w:rsidP="00F96C8A">
            <w:pPr>
              <w:pStyle w:val="a5"/>
              <w:jc w:val="both"/>
              <w:rPr>
                <w:rFonts w:ascii="Times New Roman" w:hAnsi="Times New Roman" w:cs="Times New Roman"/>
                <w:sz w:val="24"/>
                <w:szCs w:val="24"/>
              </w:rPr>
            </w:pPr>
            <w:r>
              <w:rPr>
                <w:rFonts w:ascii="Times New Roman" w:hAnsi="Times New Roman" w:cs="Times New Roman"/>
                <w:sz w:val="24"/>
                <w:szCs w:val="24"/>
              </w:rPr>
              <w:t>Единственный поставщик (</w:t>
            </w:r>
            <w:r w:rsidR="00F96C8A">
              <w:rPr>
                <w:rFonts w:ascii="Times New Roman" w:hAnsi="Times New Roman" w:cs="Times New Roman"/>
                <w:sz w:val="24"/>
                <w:szCs w:val="24"/>
              </w:rPr>
              <w:t>закупки малого объема</w:t>
            </w:r>
            <w:r>
              <w:rPr>
                <w:rFonts w:ascii="Times New Roman" w:hAnsi="Times New Roman" w:cs="Times New Roman"/>
                <w:sz w:val="24"/>
                <w:szCs w:val="24"/>
              </w:rPr>
              <w:t>)</w:t>
            </w:r>
          </w:p>
        </w:tc>
        <w:tc>
          <w:tcPr>
            <w:tcW w:w="1761" w:type="dxa"/>
            <w:vAlign w:val="center"/>
          </w:tcPr>
          <w:p w:rsidR="00FB42F2" w:rsidRPr="00E62839" w:rsidRDefault="003B573F" w:rsidP="00FB42F2">
            <w:pPr>
              <w:pStyle w:val="a5"/>
              <w:jc w:val="center"/>
              <w:rPr>
                <w:rFonts w:ascii="Times New Roman" w:hAnsi="Times New Roman" w:cs="Times New Roman"/>
                <w:sz w:val="24"/>
                <w:szCs w:val="24"/>
              </w:rPr>
            </w:pPr>
            <w:r>
              <w:rPr>
                <w:rFonts w:ascii="Times New Roman" w:hAnsi="Times New Roman" w:cs="Times New Roman"/>
                <w:sz w:val="24"/>
                <w:szCs w:val="24"/>
              </w:rPr>
              <w:t>21 954</w:t>
            </w:r>
          </w:p>
        </w:tc>
        <w:tc>
          <w:tcPr>
            <w:tcW w:w="2231" w:type="dxa"/>
            <w:vAlign w:val="center"/>
          </w:tcPr>
          <w:p w:rsidR="00FB42F2" w:rsidRPr="00E62839" w:rsidRDefault="003B573F" w:rsidP="00FB42F2">
            <w:pPr>
              <w:pStyle w:val="a5"/>
              <w:jc w:val="center"/>
              <w:rPr>
                <w:rFonts w:ascii="Times New Roman" w:hAnsi="Times New Roman" w:cs="Times New Roman"/>
                <w:sz w:val="24"/>
                <w:szCs w:val="24"/>
              </w:rPr>
            </w:pPr>
            <w:r>
              <w:rPr>
                <w:rFonts w:ascii="Times New Roman" w:hAnsi="Times New Roman" w:cs="Times New Roman"/>
                <w:sz w:val="24"/>
                <w:szCs w:val="24"/>
              </w:rPr>
              <w:t>955 310 140,00</w:t>
            </w:r>
          </w:p>
        </w:tc>
        <w:tc>
          <w:tcPr>
            <w:tcW w:w="2231" w:type="dxa"/>
            <w:vAlign w:val="center"/>
          </w:tcPr>
          <w:p w:rsidR="00FB42F2" w:rsidRPr="00E62839" w:rsidRDefault="00240A87" w:rsidP="00116BB0">
            <w:pPr>
              <w:pStyle w:val="a5"/>
              <w:jc w:val="center"/>
              <w:rPr>
                <w:rFonts w:ascii="Times New Roman" w:hAnsi="Times New Roman" w:cs="Times New Roman"/>
                <w:sz w:val="24"/>
                <w:szCs w:val="24"/>
              </w:rPr>
            </w:pPr>
            <w:r>
              <w:rPr>
                <w:rFonts w:ascii="Times New Roman" w:hAnsi="Times New Roman" w:cs="Times New Roman"/>
                <w:sz w:val="24"/>
                <w:szCs w:val="24"/>
              </w:rPr>
              <w:t>1</w:t>
            </w:r>
            <w:r w:rsidR="00116BB0">
              <w:rPr>
                <w:rFonts w:ascii="Times New Roman" w:hAnsi="Times New Roman" w:cs="Times New Roman"/>
                <w:sz w:val="24"/>
                <w:szCs w:val="24"/>
              </w:rPr>
              <w:t>3,9</w:t>
            </w:r>
            <w:r w:rsidR="00B02B71">
              <w:rPr>
                <w:rFonts w:ascii="Times New Roman" w:hAnsi="Times New Roman" w:cs="Times New Roman"/>
                <w:sz w:val="24"/>
                <w:szCs w:val="24"/>
              </w:rPr>
              <w:t>%</w:t>
            </w:r>
          </w:p>
        </w:tc>
      </w:tr>
      <w:tr w:rsidR="005D7E1D" w:rsidRPr="00E62839" w:rsidTr="00D47299">
        <w:trPr>
          <w:jc w:val="center"/>
        </w:trPr>
        <w:tc>
          <w:tcPr>
            <w:tcW w:w="3335" w:type="dxa"/>
            <w:vAlign w:val="center"/>
          </w:tcPr>
          <w:p w:rsidR="005D7E1D" w:rsidRPr="005D7E1D" w:rsidRDefault="005D7E1D" w:rsidP="00F96C8A">
            <w:pPr>
              <w:pStyle w:val="a5"/>
              <w:jc w:val="both"/>
              <w:rPr>
                <w:rFonts w:ascii="Times New Roman" w:hAnsi="Times New Roman" w:cs="Times New Roman"/>
                <w:b/>
                <w:sz w:val="24"/>
                <w:szCs w:val="24"/>
              </w:rPr>
            </w:pPr>
            <w:r w:rsidRPr="005D7E1D">
              <w:rPr>
                <w:rFonts w:ascii="Times New Roman" w:hAnsi="Times New Roman" w:cs="Times New Roman"/>
                <w:b/>
                <w:sz w:val="24"/>
                <w:szCs w:val="24"/>
              </w:rPr>
              <w:t>Итого неконкурентными способами</w:t>
            </w:r>
          </w:p>
        </w:tc>
        <w:tc>
          <w:tcPr>
            <w:tcW w:w="1761" w:type="dxa"/>
            <w:vAlign w:val="center"/>
          </w:tcPr>
          <w:p w:rsidR="005D7E1D" w:rsidRPr="007D5923" w:rsidRDefault="005D7E1D" w:rsidP="00FB42F2">
            <w:pPr>
              <w:pStyle w:val="a5"/>
              <w:jc w:val="center"/>
              <w:rPr>
                <w:rFonts w:ascii="Times New Roman" w:hAnsi="Times New Roman" w:cs="Times New Roman"/>
                <w:b/>
                <w:sz w:val="24"/>
                <w:szCs w:val="24"/>
              </w:rPr>
            </w:pPr>
            <w:r w:rsidRPr="007D5923">
              <w:rPr>
                <w:rFonts w:ascii="Times New Roman" w:hAnsi="Times New Roman" w:cs="Times New Roman"/>
                <w:b/>
                <w:sz w:val="24"/>
                <w:szCs w:val="24"/>
              </w:rPr>
              <w:t>23 425</w:t>
            </w:r>
          </w:p>
        </w:tc>
        <w:tc>
          <w:tcPr>
            <w:tcW w:w="2231" w:type="dxa"/>
            <w:vAlign w:val="center"/>
          </w:tcPr>
          <w:p w:rsidR="005D7E1D" w:rsidRPr="007D5923" w:rsidRDefault="007D5923" w:rsidP="00FB42F2">
            <w:pPr>
              <w:pStyle w:val="a5"/>
              <w:jc w:val="center"/>
              <w:rPr>
                <w:rFonts w:ascii="Times New Roman" w:hAnsi="Times New Roman" w:cs="Times New Roman"/>
                <w:b/>
                <w:sz w:val="24"/>
                <w:szCs w:val="24"/>
              </w:rPr>
            </w:pPr>
            <w:r w:rsidRPr="007D5923">
              <w:rPr>
                <w:rFonts w:ascii="Times New Roman" w:hAnsi="Times New Roman" w:cs="Times New Roman"/>
                <w:b/>
                <w:sz w:val="24"/>
                <w:szCs w:val="24"/>
              </w:rPr>
              <w:t>1 759 947 600,00</w:t>
            </w:r>
          </w:p>
        </w:tc>
        <w:tc>
          <w:tcPr>
            <w:tcW w:w="2231" w:type="dxa"/>
            <w:vAlign w:val="center"/>
          </w:tcPr>
          <w:p w:rsidR="005D7E1D" w:rsidRPr="007D5923" w:rsidRDefault="007D5923" w:rsidP="00116BB0">
            <w:pPr>
              <w:pStyle w:val="a5"/>
              <w:jc w:val="center"/>
              <w:rPr>
                <w:rFonts w:ascii="Times New Roman" w:hAnsi="Times New Roman" w:cs="Times New Roman"/>
                <w:b/>
                <w:sz w:val="24"/>
                <w:szCs w:val="24"/>
              </w:rPr>
            </w:pPr>
            <w:r w:rsidRPr="007D5923">
              <w:rPr>
                <w:rFonts w:ascii="Times New Roman" w:hAnsi="Times New Roman" w:cs="Times New Roman"/>
                <w:b/>
                <w:sz w:val="24"/>
                <w:szCs w:val="24"/>
              </w:rPr>
              <w:t>25,6%</w:t>
            </w:r>
          </w:p>
        </w:tc>
      </w:tr>
      <w:tr w:rsidR="00FB42F2" w:rsidRPr="00E62839" w:rsidTr="00D47299">
        <w:trPr>
          <w:trHeight w:val="76"/>
          <w:jc w:val="center"/>
        </w:trPr>
        <w:tc>
          <w:tcPr>
            <w:tcW w:w="3335" w:type="dxa"/>
            <w:vAlign w:val="center"/>
          </w:tcPr>
          <w:p w:rsidR="00FB42F2" w:rsidRPr="00434BD5" w:rsidRDefault="00FB42F2" w:rsidP="00FB42F2">
            <w:pPr>
              <w:pStyle w:val="a5"/>
              <w:rPr>
                <w:rFonts w:ascii="Times New Roman" w:hAnsi="Times New Roman" w:cs="Times New Roman"/>
                <w:b/>
                <w:sz w:val="24"/>
                <w:szCs w:val="24"/>
              </w:rPr>
            </w:pPr>
            <w:r w:rsidRPr="00434BD5">
              <w:rPr>
                <w:rFonts w:ascii="Times New Roman" w:hAnsi="Times New Roman" w:cs="Times New Roman"/>
                <w:b/>
                <w:sz w:val="24"/>
                <w:szCs w:val="24"/>
              </w:rPr>
              <w:t>ИТОГО</w:t>
            </w:r>
          </w:p>
        </w:tc>
        <w:tc>
          <w:tcPr>
            <w:tcW w:w="1761" w:type="dxa"/>
            <w:vAlign w:val="center"/>
          </w:tcPr>
          <w:p w:rsidR="00FB42F2" w:rsidRPr="00434BD5" w:rsidRDefault="003B573F" w:rsidP="00FB42F2">
            <w:pPr>
              <w:pStyle w:val="a5"/>
              <w:jc w:val="center"/>
              <w:rPr>
                <w:rFonts w:ascii="Times New Roman" w:hAnsi="Times New Roman" w:cs="Times New Roman"/>
                <w:b/>
                <w:sz w:val="24"/>
                <w:szCs w:val="24"/>
              </w:rPr>
            </w:pPr>
            <w:r>
              <w:rPr>
                <w:rFonts w:ascii="Times New Roman" w:hAnsi="Times New Roman" w:cs="Times New Roman"/>
                <w:b/>
                <w:sz w:val="24"/>
                <w:szCs w:val="24"/>
              </w:rPr>
              <w:t>24 893</w:t>
            </w:r>
          </w:p>
        </w:tc>
        <w:tc>
          <w:tcPr>
            <w:tcW w:w="2231" w:type="dxa"/>
            <w:vAlign w:val="center"/>
          </w:tcPr>
          <w:p w:rsidR="00FB42F2" w:rsidRPr="00434BD5" w:rsidRDefault="003B573F" w:rsidP="00FB42F2">
            <w:pPr>
              <w:pStyle w:val="a5"/>
              <w:jc w:val="center"/>
              <w:rPr>
                <w:rFonts w:ascii="Times New Roman" w:hAnsi="Times New Roman" w:cs="Times New Roman"/>
                <w:b/>
                <w:sz w:val="24"/>
                <w:szCs w:val="24"/>
              </w:rPr>
            </w:pPr>
            <w:r w:rsidRPr="003B573F">
              <w:rPr>
                <w:rFonts w:ascii="Times New Roman" w:hAnsi="Times New Roman" w:cs="Times New Roman"/>
                <w:b/>
                <w:sz w:val="24"/>
                <w:szCs w:val="24"/>
              </w:rPr>
              <w:t>6 871 048 594,51</w:t>
            </w:r>
          </w:p>
        </w:tc>
        <w:tc>
          <w:tcPr>
            <w:tcW w:w="2231" w:type="dxa"/>
            <w:vAlign w:val="center"/>
          </w:tcPr>
          <w:p w:rsidR="00FB42F2" w:rsidRPr="00434BD5" w:rsidRDefault="00FB42F2" w:rsidP="00FB42F2">
            <w:pPr>
              <w:pStyle w:val="a5"/>
              <w:jc w:val="center"/>
              <w:rPr>
                <w:rFonts w:ascii="Times New Roman" w:hAnsi="Times New Roman" w:cs="Times New Roman"/>
                <w:b/>
                <w:sz w:val="24"/>
                <w:szCs w:val="24"/>
              </w:rPr>
            </w:pPr>
            <w:r w:rsidRPr="00434BD5">
              <w:rPr>
                <w:rFonts w:ascii="Times New Roman" w:hAnsi="Times New Roman" w:cs="Times New Roman"/>
                <w:b/>
                <w:sz w:val="24"/>
                <w:szCs w:val="24"/>
              </w:rPr>
              <w:t>100%</w:t>
            </w:r>
          </w:p>
        </w:tc>
      </w:tr>
    </w:tbl>
    <w:p w:rsidR="00D05997" w:rsidRDefault="0051338E" w:rsidP="00083452">
      <w:pPr>
        <w:pStyle w:val="a5"/>
        <w:ind w:firstLine="708"/>
        <w:jc w:val="both"/>
        <w:rPr>
          <w:rFonts w:ascii="Times New Roman" w:hAnsi="Times New Roman" w:cs="Times New Roman"/>
          <w:sz w:val="28"/>
          <w:szCs w:val="28"/>
        </w:rPr>
      </w:pPr>
      <w:r w:rsidRPr="000B3493">
        <w:rPr>
          <w:rFonts w:ascii="Times New Roman" w:hAnsi="Times New Roman" w:cs="Times New Roman"/>
          <w:sz w:val="28"/>
          <w:szCs w:val="28"/>
        </w:rPr>
        <w:lastRenderedPageBreak/>
        <w:t>Анализ структуры закупок, осуществленных в 2016 год</w:t>
      </w:r>
      <w:r w:rsidR="00364519">
        <w:rPr>
          <w:rFonts w:ascii="Times New Roman" w:hAnsi="Times New Roman" w:cs="Times New Roman"/>
          <w:sz w:val="28"/>
          <w:szCs w:val="28"/>
        </w:rPr>
        <w:t>у</w:t>
      </w:r>
      <w:r w:rsidRPr="000B3493">
        <w:rPr>
          <w:rFonts w:ascii="Times New Roman" w:hAnsi="Times New Roman" w:cs="Times New Roman"/>
          <w:sz w:val="28"/>
          <w:szCs w:val="28"/>
        </w:rPr>
        <w:t>, показывает, что преобладающим способом определения поставщиков (подрядчиков, исполнителей) в отчетном периоде является электронный аукцион.</w:t>
      </w:r>
      <w:r w:rsidR="00083452">
        <w:rPr>
          <w:rFonts w:ascii="Times New Roman" w:hAnsi="Times New Roman" w:cs="Times New Roman"/>
          <w:sz w:val="28"/>
          <w:szCs w:val="28"/>
        </w:rPr>
        <w:t xml:space="preserve"> </w:t>
      </w:r>
      <w:r w:rsidRPr="000B3493">
        <w:rPr>
          <w:rFonts w:ascii="Times New Roman" w:hAnsi="Times New Roman" w:cs="Times New Roman"/>
          <w:sz w:val="28"/>
          <w:szCs w:val="28"/>
        </w:rPr>
        <w:t>Доля эл</w:t>
      </w:r>
      <w:r w:rsidR="000C01ED">
        <w:rPr>
          <w:rFonts w:ascii="Times New Roman" w:hAnsi="Times New Roman" w:cs="Times New Roman"/>
          <w:sz w:val="28"/>
          <w:szCs w:val="28"/>
        </w:rPr>
        <w:t xml:space="preserve">ектронных аукционов составляет </w:t>
      </w:r>
      <w:r w:rsidR="00001F42">
        <w:rPr>
          <w:rFonts w:ascii="Times New Roman" w:hAnsi="Times New Roman" w:cs="Times New Roman"/>
          <w:sz w:val="28"/>
          <w:szCs w:val="28"/>
        </w:rPr>
        <w:t>56,1</w:t>
      </w:r>
      <w:r w:rsidRPr="000B3493">
        <w:rPr>
          <w:rFonts w:ascii="Times New Roman" w:hAnsi="Times New Roman" w:cs="Times New Roman"/>
          <w:sz w:val="28"/>
          <w:szCs w:val="28"/>
        </w:rPr>
        <w:t xml:space="preserve">% от общего </w:t>
      </w:r>
      <w:r w:rsidR="000248ED">
        <w:rPr>
          <w:rFonts w:ascii="Times New Roman" w:hAnsi="Times New Roman" w:cs="Times New Roman"/>
          <w:sz w:val="28"/>
          <w:szCs w:val="28"/>
        </w:rPr>
        <w:t>объема</w:t>
      </w:r>
      <w:r w:rsidRPr="000B3493">
        <w:rPr>
          <w:rFonts w:ascii="Times New Roman" w:hAnsi="Times New Roman" w:cs="Times New Roman"/>
          <w:sz w:val="28"/>
          <w:szCs w:val="28"/>
        </w:rPr>
        <w:t xml:space="preserve"> размещенных в единой информационной системе </w:t>
      </w:r>
      <w:r w:rsidR="000248ED">
        <w:rPr>
          <w:rFonts w:ascii="Times New Roman" w:hAnsi="Times New Roman" w:cs="Times New Roman"/>
          <w:sz w:val="28"/>
          <w:szCs w:val="28"/>
        </w:rPr>
        <w:t>закупок</w:t>
      </w:r>
      <w:r w:rsidRPr="000B3493">
        <w:rPr>
          <w:rFonts w:ascii="Times New Roman" w:hAnsi="Times New Roman" w:cs="Times New Roman"/>
          <w:sz w:val="28"/>
          <w:szCs w:val="28"/>
        </w:rPr>
        <w:t xml:space="preserve">. </w:t>
      </w:r>
      <w:r w:rsidR="00AE47E9" w:rsidRPr="000248ED">
        <w:rPr>
          <w:rFonts w:ascii="Times New Roman" w:hAnsi="Times New Roman" w:cs="Times New Roman"/>
          <w:sz w:val="28"/>
          <w:szCs w:val="28"/>
        </w:rPr>
        <w:t>Преимущество</w:t>
      </w:r>
      <w:r w:rsidRPr="000248ED">
        <w:rPr>
          <w:rFonts w:ascii="Times New Roman" w:hAnsi="Times New Roman" w:cs="Times New Roman"/>
          <w:sz w:val="28"/>
          <w:szCs w:val="28"/>
        </w:rPr>
        <w:t xml:space="preserve"> </w:t>
      </w:r>
      <w:r w:rsidR="00AE47E9" w:rsidRPr="000248ED">
        <w:rPr>
          <w:rFonts w:ascii="Times New Roman" w:hAnsi="Times New Roman" w:cs="Times New Roman"/>
          <w:sz w:val="28"/>
          <w:szCs w:val="28"/>
        </w:rPr>
        <w:t xml:space="preserve">аукционов </w:t>
      </w:r>
      <w:r w:rsidRPr="000248ED">
        <w:rPr>
          <w:rFonts w:ascii="Times New Roman" w:hAnsi="Times New Roman" w:cs="Times New Roman"/>
          <w:sz w:val="28"/>
          <w:szCs w:val="28"/>
        </w:rPr>
        <w:t>в электронной форме обусловлено минимизацией временных затрат</w:t>
      </w:r>
      <w:r w:rsidR="00AE47E9" w:rsidRPr="000248ED">
        <w:rPr>
          <w:rFonts w:ascii="Times New Roman" w:hAnsi="Times New Roman" w:cs="Times New Roman"/>
          <w:sz w:val="28"/>
          <w:szCs w:val="28"/>
        </w:rPr>
        <w:t xml:space="preserve"> и экономией бюджетных средств</w:t>
      </w:r>
      <w:r w:rsidRPr="000248ED">
        <w:rPr>
          <w:rFonts w:ascii="Times New Roman" w:hAnsi="Times New Roman" w:cs="Times New Roman"/>
          <w:sz w:val="28"/>
          <w:szCs w:val="28"/>
        </w:rPr>
        <w:t>,</w:t>
      </w:r>
      <w:r w:rsidR="00AE47E9" w:rsidRPr="000248ED">
        <w:rPr>
          <w:rFonts w:ascii="Times New Roman" w:hAnsi="Times New Roman" w:cs="Times New Roman"/>
          <w:sz w:val="28"/>
          <w:szCs w:val="28"/>
        </w:rPr>
        <w:t xml:space="preserve"> что</w:t>
      </w:r>
      <w:r w:rsidRPr="000248ED">
        <w:rPr>
          <w:rFonts w:ascii="Times New Roman" w:hAnsi="Times New Roman" w:cs="Times New Roman"/>
          <w:sz w:val="28"/>
          <w:szCs w:val="28"/>
        </w:rPr>
        <w:t xml:space="preserve"> делает их наиболее привлекательными для </w:t>
      </w:r>
      <w:r w:rsidR="00D83D61" w:rsidRPr="000248ED">
        <w:rPr>
          <w:rFonts w:ascii="Times New Roman" w:hAnsi="Times New Roman" w:cs="Times New Roman"/>
          <w:sz w:val="28"/>
          <w:szCs w:val="28"/>
        </w:rPr>
        <w:t>з</w:t>
      </w:r>
      <w:r w:rsidRPr="000248ED">
        <w:rPr>
          <w:rFonts w:ascii="Times New Roman" w:hAnsi="Times New Roman" w:cs="Times New Roman"/>
          <w:sz w:val="28"/>
          <w:szCs w:val="28"/>
        </w:rPr>
        <w:t>аказчиков.</w:t>
      </w:r>
    </w:p>
    <w:p w:rsidR="00E900B1" w:rsidRDefault="00E900B1" w:rsidP="00083452">
      <w:pPr>
        <w:pStyle w:val="a5"/>
        <w:ind w:firstLine="708"/>
        <w:jc w:val="both"/>
        <w:rPr>
          <w:rFonts w:ascii="Times New Roman" w:hAnsi="Times New Roman" w:cs="Times New Roman"/>
          <w:sz w:val="28"/>
          <w:szCs w:val="28"/>
        </w:rPr>
      </w:pPr>
      <w:r w:rsidRPr="00E900B1">
        <w:rPr>
          <w:rFonts w:ascii="Times New Roman" w:hAnsi="Times New Roman" w:cs="Times New Roman"/>
          <w:sz w:val="28"/>
          <w:szCs w:val="28"/>
        </w:rPr>
        <w:t>По сравнению с размещенными закупками 2015 года общий объем закупок в 2016 году снизился на 19,4%. Но в то же время в 2016 году объем размещенных электронных аукционов увеличился на 22% по сравнению с аналогичным периодом 2015 года</w:t>
      </w:r>
      <w:r w:rsidR="007A6C01">
        <w:rPr>
          <w:rFonts w:ascii="Times New Roman" w:hAnsi="Times New Roman" w:cs="Times New Roman"/>
          <w:sz w:val="28"/>
          <w:szCs w:val="28"/>
        </w:rPr>
        <w:t>,</w:t>
      </w:r>
      <w:r w:rsidR="007A6C01" w:rsidRPr="007A6C01">
        <w:rPr>
          <w:rFonts w:ascii="Times New Roman" w:hAnsi="Times New Roman" w:cs="Times New Roman"/>
          <w:sz w:val="28"/>
          <w:szCs w:val="28"/>
        </w:rPr>
        <w:t xml:space="preserve"> </w:t>
      </w:r>
      <w:r w:rsidR="007A6C01" w:rsidRPr="00E900B1">
        <w:rPr>
          <w:rFonts w:ascii="Times New Roman" w:hAnsi="Times New Roman" w:cs="Times New Roman"/>
          <w:sz w:val="28"/>
          <w:szCs w:val="28"/>
        </w:rPr>
        <w:t xml:space="preserve">запросов котировок на </w:t>
      </w:r>
      <w:r w:rsidR="007A6C01">
        <w:rPr>
          <w:rFonts w:ascii="Times New Roman" w:hAnsi="Times New Roman" w:cs="Times New Roman"/>
          <w:sz w:val="28"/>
          <w:szCs w:val="28"/>
        </w:rPr>
        <w:t>1</w:t>
      </w:r>
      <w:r w:rsidR="007A6C01" w:rsidRPr="00E900B1">
        <w:rPr>
          <w:rFonts w:ascii="Times New Roman" w:hAnsi="Times New Roman" w:cs="Times New Roman"/>
          <w:sz w:val="28"/>
          <w:szCs w:val="28"/>
        </w:rPr>
        <w:t>5%</w:t>
      </w:r>
      <w:r w:rsidRPr="00E900B1">
        <w:rPr>
          <w:rFonts w:ascii="Times New Roman" w:hAnsi="Times New Roman" w:cs="Times New Roman"/>
          <w:sz w:val="28"/>
          <w:szCs w:val="28"/>
        </w:rPr>
        <w:t>, а объем размещенных конкурсов снизился на 63,</w:t>
      </w:r>
      <w:r w:rsidR="007A6C01">
        <w:rPr>
          <w:rFonts w:ascii="Times New Roman" w:hAnsi="Times New Roman" w:cs="Times New Roman"/>
          <w:sz w:val="28"/>
          <w:szCs w:val="28"/>
        </w:rPr>
        <w:t>4%, запросов предложений на 89%</w:t>
      </w:r>
      <w:r w:rsidRPr="00E900B1">
        <w:rPr>
          <w:rFonts w:ascii="Times New Roman" w:hAnsi="Times New Roman" w:cs="Times New Roman"/>
          <w:sz w:val="28"/>
          <w:szCs w:val="28"/>
        </w:rPr>
        <w:t xml:space="preserve">. </w:t>
      </w:r>
    </w:p>
    <w:p w:rsidR="00E900B1" w:rsidRDefault="006313C5" w:rsidP="00083452">
      <w:pPr>
        <w:pStyle w:val="a5"/>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486400" cy="320040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6313C5" w:rsidRDefault="006313C5" w:rsidP="00083452">
      <w:pPr>
        <w:pStyle w:val="a5"/>
        <w:ind w:firstLine="708"/>
        <w:jc w:val="both"/>
        <w:rPr>
          <w:rFonts w:ascii="Times New Roman" w:hAnsi="Times New Roman" w:cs="Times New Roman"/>
          <w:sz w:val="28"/>
          <w:szCs w:val="28"/>
        </w:rPr>
      </w:pPr>
    </w:p>
    <w:p w:rsidR="00E62839" w:rsidRDefault="00F6566F" w:rsidP="000B3493">
      <w:pPr>
        <w:pStyle w:val="a5"/>
        <w:jc w:val="both"/>
      </w:pPr>
      <w:r w:rsidRPr="000B3493">
        <w:rPr>
          <w:rFonts w:ascii="Times New Roman" w:hAnsi="Times New Roman" w:cs="Times New Roman"/>
          <w:sz w:val="28"/>
          <w:szCs w:val="28"/>
        </w:rPr>
        <w:lastRenderedPageBreak/>
        <w:tab/>
      </w:r>
      <w:r w:rsidRPr="00364519">
        <w:rPr>
          <w:rFonts w:ascii="Times New Roman" w:hAnsi="Times New Roman" w:cs="Times New Roman"/>
          <w:sz w:val="28"/>
          <w:szCs w:val="28"/>
        </w:rPr>
        <w:t>П</w:t>
      </w:r>
      <w:r w:rsidR="0051338E" w:rsidRPr="00364519">
        <w:rPr>
          <w:rFonts w:ascii="Times New Roman" w:hAnsi="Times New Roman" w:cs="Times New Roman"/>
          <w:sz w:val="28"/>
          <w:szCs w:val="28"/>
        </w:rPr>
        <w:t>олученные по результатам мониторинга сведения свидетельствуют о положительной динамике роста экономии денежных средств в 201</w:t>
      </w:r>
      <w:r w:rsidR="009A7195" w:rsidRPr="00364519">
        <w:rPr>
          <w:rFonts w:ascii="Times New Roman" w:hAnsi="Times New Roman" w:cs="Times New Roman"/>
          <w:sz w:val="28"/>
          <w:szCs w:val="28"/>
        </w:rPr>
        <w:t>6</w:t>
      </w:r>
      <w:r w:rsidR="0051338E" w:rsidRPr="00364519">
        <w:rPr>
          <w:rFonts w:ascii="Times New Roman" w:hAnsi="Times New Roman" w:cs="Times New Roman"/>
          <w:sz w:val="28"/>
          <w:szCs w:val="28"/>
        </w:rPr>
        <w:t xml:space="preserve"> год</w:t>
      </w:r>
      <w:r w:rsidR="00771F05">
        <w:rPr>
          <w:rFonts w:ascii="Times New Roman" w:hAnsi="Times New Roman" w:cs="Times New Roman"/>
          <w:sz w:val="28"/>
          <w:szCs w:val="28"/>
        </w:rPr>
        <w:t>у</w:t>
      </w:r>
      <w:r w:rsidR="00C2482A" w:rsidRPr="00364519">
        <w:rPr>
          <w:rFonts w:ascii="Times New Roman" w:hAnsi="Times New Roman" w:cs="Times New Roman"/>
          <w:sz w:val="28"/>
          <w:szCs w:val="28"/>
        </w:rPr>
        <w:t xml:space="preserve"> по сравнению с аналогичным периодом </w:t>
      </w:r>
      <w:r w:rsidR="00FA75DA" w:rsidRPr="00364519">
        <w:rPr>
          <w:rFonts w:ascii="Times New Roman" w:hAnsi="Times New Roman" w:cs="Times New Roman"/>
          <w:sz w:val="28"/>
          <w:szCs w:val="28"/>
        </w:rPr>
        <w:t>прошлого</w:t>
      </w:r>
      <w:r w:rsidR="00C2482A" w:rsidRPr="00364519">
        <w:rPr>
          <w:rFonts w:ascii="Times New Roman" w:hAnsi="Times New Roman" w:cs="Times New Roman"/>
          <w:sz w:val="28"/>
          <w:szCs w:val="28"/>
        </w:rPr>
        <w:t xml:space="preserve"> года</w:t>
      </w:r>
      <w:r w:rsidR="0051338E" w:rsidRPr="00364519">
        <w:rPr>
          <w:rFonts w:ascii="Times New Roman" w:hAnsi="Times New Roman" w:cs="Times New Roman"/>
          <w:sz w:val="28"/>
          <w:szCs w:val="28"/>
        </w:rPr>
        <w:t xml:space="preserve">. Экономия бюджетных средств по результатам проведенных процедур </w:t>
      </w:r>
      <w:r w:rsidR="008D4C12" w:rsidRPr="00364519">
        <w:rPr>
          <w:rFonts w:ascii="Times New Roman" w:hAnsi="Times New Roman" w:cs="Times New Roman"/>
          <w:sz w:val="28"/>
          <w:szCs w:val="28"/>
        </w:rPr>
        <w:t>в</w:t>
      </w:r>
      <w:r w:rsidR="0051338E" w:rsidRPr="00364519">
        <w:rPr>
          <w:rFonts w:ascii="Times New Roman" w:hAnsi="Times New Roman" w:cs="Times New Roman"/>
          <w:sz w:val="28"/>
          <w:szCs w:val="28"/>
        </w:rPr>
        <w:t xml:space="preserve"> 2016 год</w:t>
      </w:r>
      <w:r w:rsidR="008D4C12" w:rsidRPr="00364519">
        <w:rPr>
          <w:rFonts w:ascii="Times New Roman" w:hAnsi="Times New Roman" w:cs="Times New Roman"/>
          <w:sz w:val="28"/>
          <w:szCs w:val="28"/>
        </w:rPr>
        <w:t>у</w:t>
      </w:r>
      <w:r w:rsidR="0051338E" w:rsidRPr="00364519">
        <w:rPr>
          <w:rFonts w:ascii="Times New Roman" w:hAnsi="Times New Roman" w:cs="Times New Roman"/>
          <w:sz w:val="28"/>
          <w:szCs w:val="28"/>
        </w:rPr>
        <w:t xml:space="preserve"> составила </w:t>
      </w:r>
      <w:r w:rsidR="00400863" w:rsidRPr="00364519">
        <w:rPr>
          <w:rFonts w:ascii="Times New Roman" w:hAnsi="Times New Roman" w:cs="Times New Roman"/>
          <w:sz w:val="28"/>
          <w:szCs w:val="28"/>
        </w:rPr>
        <w:t>375</w:t>
      </w:r>
      <w:r w:rsidR="0051338E" w:rsidRPr="00364519">
        <w:rPr>
          <w:rFonts w:ascii="Times New Roman" w:hAnsi="Times New Roman" w:cs="Times New Roman"/>
          <w:sz w:val="28"/>
          <w:szCs w:val="28"/>
        </w:rPr>
        <w:t xml:space="preserve"> млн. рублей или </w:t>
      </w:r>
      <w:r w:rsidR="009A7195" w:rsidRPr="00364519">
        <w:rPr>
          <w:rFonts w:ascii="Times New Roman" w:hAnsi="Times New Roman" w:cs="Times New Roman"/>
          <w:sz w:val="28"/>
          <w:szCs w:val="28"/>
        </w:rPr>
        <w:t>9,7</w:t>
      </w:r>
      <w:r w:rsidR="0051338E" w:rsidRPr="00364519">
        <w:rPr>
          <w:rFonts w:ascii="Times New Roman" w:hAnsi="Times New Roman" w:cs="Times New Roman"/>
          <w:sz w:val="28"/>
          <w:szCs w:val="28"/>
        </w:rPr>
        <w:t>% от суммы размещенных закупок (в 2015 год</w:t>
      </w:r>
      <w:r w:rsidR="008D4C12" w:rsidRPr="00364519">
        <w:rPr>
          <w:rFonts w:ascii="Times New Roman" w:hAnsi="Times New Roman" w:cs="Times New Roman"/>
          <w:sz w:val="28"/>
          <w:szCs w:val="28"/>
        </w:rPr>
        <w:t>у</w:t>
      </w:r>
      <w:r w:rsidR="0051338E" w:rsidRPr="00364519">
        <w:rPr>
          <w:rFonts w:ascii="Times New Roman" w:hAnsi="Times New Roman" w:cs="Times New Roman"/>
          <w:sz w:val="28"/>
          <w:szCs w:val="28"/>
        </w:rPr>
        <w:t xml:space="preserve"> экономия составля</w:t>
      </w:r>
      <w:r w:rsidR="00400863" w:rsidRPr="00364519">
        <w:rPr>
          <w:rFonts w:ascii="Times New Roman" w:hAnsi="Times New Roman" w:cs="Times New Roman"/>
          <w:sz w:val="28"/>
          <w:szCs w:val="28"/>
        </w:rPr>
        <w:t>ла 263</w:t>
      </w:r>
      <w:r w:rsidR="0051338E" w:rsidRPr="00364519">
        <w:rPr>
          <w:rFonts w:ascii="Times New Roman" w:hAnsi="Times New Roman" w:cs="Times New Roman"/>
          <w:sz w:val="28"/>
          <w:szCs w:val="28"/>
        </w:rPr>
        <w:t xml:space="preserve"> млн. руб. или </w:t>
      </w:r>
      <w:r w:rsidR="009A7195" w:rsidRPr="00364519">
        <w:rPr>
          <w:rFonts w:ascii="Times New Roman" w:hAnsi="Times New Roman" w:cs="Times New Roman"/>
          <w:sz w:val="28"/>
          <w:szCs w:val="28"/>
        </w:rPr>
        <w:t>4,6</w:t>
      </w:r>
      <w:r w:rsidR="0051338E" w:rsidRPr="00364519">
        <w:rPr>
          <w:rFonts w:ascii="Times New Roman" w:hAnsi="Times New Roman" w:cs="Times New Roman"/>
          <w:sz w:val="28"/>
          <w:szCs w:val="28"/>
        </w:rPr>
        <w:t>% от суммы размещенных закупок)</w:t>
      </w:r>
      <w:r w:rsidR="000B3493" w:rsidRPr="00364519">
        <w:rPr>
          <w:rFonts w:ascii="Times New Roman" w:hAnsi="Times New Roman" w:cs="Times New Roman"/>
          <w:sz w:val="28"/>
          <w:szCs w:val="28"/>
        </w:rPr>
        <w:t>:</w:t>
      </w:r>
    </w:p>
    <w:p w:rsidR="000B3493" w:rsidRDefault="000B3493" w:rsidP="0051338E">
      <w:pPr>
        <w:tabs>
          <w:tab w:val="left" w:pos="993"/>
        </w:tabs>
        <w:jc w:val="both"/>
        <w:rPr>
          <w:rFonts w:ascii="Times New Roman" w:hAnsi="Times New Roman" w:cs="Times New Roman"/>
          <w:sz w:val="28"/>
          <w:szCs w:val="28"/>
        </w:rPr>
      </w:pPr>
      <w:r>
        <w:rPr>
          <w:rFonts w:ascii="Times New Roman" w:hAnsi="Times New Roman" w:cs="Times New Roman"/>
          <w:noProof/>
          <w:sz w:val="24"/>
          <w:szCs w:val="24"/>
          <w:lang w:eastAsia="ru-RU"/>
        </w:rPr>
        <w:drawing>
          <wp:inline distT="0" distB="0" distL="0" distR="0" wp14:anchorId="72C91D5E" wp14:editId="28789C22">
            <wp:extent cx="5924550" cy="259080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62F23" w:rsidRDefault="00F6566F" w:rsidP="00AB3C76">
      <w:pPr>
        <w:pStyle w:val="a5"/>
        <w:jc w:val="both"/>
        <w:rPr>
          <w:rFonts w:ascii="Times New Roman" w:hAnsi="Times New Roman" w:cs="Times New Roman"/>
          <w:sz w:val="28"/>
          <w:szCs w:val="28"/>
        </w:rPr>
      </w:pPr>
      <w:r>
        <w:tab/>
      </w:r>
      <w:r w:rsidR="00E900B1" w:rsidRPr="00E900B1">
        <w:rPr>
          <w:rFonts w:ascii="Times New Roman" w:hAnsi="Times New Roman" w:cs="Times New Roman"/>
          <w:sz w:val="28"/>
          <w:szCs w:val="28"/>
        </w:rPr>
        <w:t>Общее количество размещенных закупок по состоянию на 31 декабря 2016 года по сравнению с аналогичным периодом 2015 года незначительно увеличилось на 11%, в том числе: электронных аукционов в 2016 году увеличилось на 12%, запросов котировок на 8%, конкурсов на 24%, количество запросов предложений уменьшилось на 17%.</w:t>
      </w:r>
    </w:p>
    <w:p w:rsidR="00E900B1" w:rsidRDefault="00E900B1" w:rsidP="00962F23">
      <w:pPr>
        <w:pStyle w:val="a5"/>
        <w:ind w:firstLine="708"/>
        <w:jc w:val="both"/>
        <w:rPr>
          <w:rFonts w:ascii="Times New Roman" w:hAnsi="Times New Roman" w:cs="Times New Roman"/>
          <w:sz w:val="28"/>
          <w:szCs w:val="28"/>
        </w:rPr>
      </w:pPr>
      <w:r>
        <w:rPr>
          <w:rFonts w:ascii="Times New Roman" w:hAnsi="Times New Roman"/>
          <w:noProof/>
          <w:sz w:val="28"/>
          <w:szCs w:val="28"/>
          <w:lang w:eastAsia="ru-RU"/>
        </w:rPr>
        <w:lastRenderedPageBreak/>
        <w:drawing>
          <wp:inline distT="0" distB="0" distL="0" distR="0" wp14:anchorId="331DA018" wp14:editId="12938D51">
            <wp:extent cx="5390707" cy="3372500"/>
            <wp:effectExtent l="0" t="0" r="635" b="1841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25E0A" w:rsidRPr="00B25E0A" w:rsidRDefault="00B25E0A" w:rsidP="00B25E0A">
      <w:pPr>
        <w:pStyle w:val="a5"/>
        <w:ind w:firstLine="708"/>
        <w:jc w:val="both"/>
        <w:rPr>
          <w:rFonts w:ascii="Times New Roman" w:hAnsi="Times New Roman" w:cs="Times New Roman"/>
          <w:sz w:val="28"/>
          <w:szCs w:val="28"/>
        </w:rPr>
      </w:pPr>
      <w:r w:rsidRPr="00B25E0A">
        <w:rPr>
          <w:rFonts w:ascii="Times New Roman" w:hAnsi="Times New Roman" w:cs="Times New Roman"/>
          <w:sz w:val="28"/>
          <w:szCs w:val="28"/>
        </w:rPr>
        <w:t xml:space="preserve">Согласно ч. 1 ст. 30 Федерального закона о контрактной системе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Муниципальные заказчики городского округа «город Якутск» самостоятельно определяют виды товаров, работ, услуг, которые могут поставить, выполнить, оказать субъекты малого предпринимательства, социально ориентированные некоммерческие организации. </w:t>
      </w:r>
    </w:p>
    <w:p w:rsidR="009D2A28" w:rsidRDefault="00D05997" w:rsidP="00B25E0A">
      <w:pPr>
        <w:pStyle w:val="a5"/>
        <w:ind w:firstLine="708"/>
        <w:jc w:val="both"/>
        <w:rPr>
          <w:rFonts w:ascii="Times New Roman" w:hAnsi="Times New Roman" w:cs="Times New Roman"/>
          <w:sz w:val="28"/>
          <w:szCs w:val="28"/>
        </w:rPr>
      </w:pPr>
      <w:r w:rsidRPr="00D05997">
        <w:rPr>
          <w:rFonts w:ascii="Times New Roman" w:hAnsi="Times New Roman" w:cs="Times New Roman"/>
          <w:sz w:val="28"/>
          <w:szCs w:val="28"/>
        </w:rPr>
        <w:t>Закупки у субъектов малого предпринимательства и социально-ориентированных некоммерческих организаций для обеспечения муниципальных нужд за 2016 год составили 15,26% совокупного годового объема закупок или 617,1 млн. рублей, рассчитанного с учетом части 1.1 статьи 30 Феде</w:t>
      </w:r>
      <w:r w:rsidRPr="00D05997">
        <w:rPr>
          <w:rFonts w:ascii="Times New Roman" w:hAnsi="Times New Roman" w:cs="Times New Roman"/>
          <w:sz w:val="28"/>
          <w:szCs w:val="28"/>
        </w:rPr>
        <w:lastRenderedPageBreak/>
        <w:t>рального закона от 05 апреля 2013 года №44-ФЗ «О контрактной системе в сфере закупок товаров, работ и услуг для обеспечения государственных и муниципальных нужд».</w:t>
      </w:r>
      <w:r w:rsidR="003F2578">
        <w:rPr>
          <w:rFonts w:ascii="Times New Roman" w:hAnsi="Times New Roman" w:cs="Times New Roman"/>
          <w:sz w:val="28"/>
          <w:szCs w:val="28"/>
        </w:rPr>
        <w:t xml:space="preserve"> </w:t>
      </w:r>
    </w:p>
    <w:p w:rsidR="0035099F" w:rsidRDefault="0035099F" w:rsidP="00B25E0A">
      <w:pPr>
        <w:pStyle w:val="a5"/>
        <w:ind w:firstLine="708"/>
        <w:jc w:val="both"/>
        <w:rPr>
          <w:rFonts w:ascii="Times New Roman" w:hAnsi="Times New Roman" w:cs="Times New Roman"/>
          <w:sz w:val="28"/>
          <w:szCs w:val="28"/>
        </w:rPr>
      </w:pPr>
    </w:p>
    <w:p w:rsidR="00BB0F70" w:rsidRPr="002E0C58" w:rsidRDefault="00BB0F70" w:rsidP="00BB0F70">
      <w:pPr>
        <w:pStyle w:val="a3"/>
        <w:numPr>
          <w:ilvl w:val="0"/>
          <w:numId w:val="6"/>
        </w:numPr>
        <w:tabs>
          <w:tab w:val="left" w:pos="993"/>
        </w:tabs>
        <w:jc w:val="both"/>
        <w:rPr>
          <w:rFonts w:ascii="Times New Roman" w:hAnsi="Times New Roman" w:cs="Times New Roman"/>
          <w:i/>
          <w:sz w:val="28"/>
          <w:szCs w:val="24"/>
        </w:rPr>
      </w:pPr>
      <w:r w:rsidRPr="002E0C58">
        <w:rPr>
          <w:rFonts w:ascii="Times New Roman" w:hAnsi="Times New Roman" w:cs="Times New Roman"/>
          <w:i/>
          <w:sz w:val="28"/>
          <w:szCs w:val="24"/>
          <w:u w:val="single"/>
        </w:rPr>
        <w:t xml:space="preserve">Показатели эффективности расходования бюджетных средств </w:t>
      </w:r>
    </w:p>
    <w:p w:rsidR="00BB0F70" w:rsidRDefault="00BB0F70" w:rsidP="00BB0F70">
      <w:pPr>
        <w:tabs>
          <w:tab w:val="left" w:pos="993"/>
        </w:tabs>
        <w:ind w:firstLine="567"/>
        <w:jc w:val="both"/>
        <w:rPr>
          <w:rFonts w:ascii="Times New Roman" w:hAnsi="Times New Roman" w:cs="Times New Roman"/>
          <w:sz w:val="28"/>
          <w:szCs w:val="24"/>
        </w:rPr>
      </w:pPr>
      <w:r w:rsidRPr="00F00A36">
        <w:rPr>
          <w:rFonts w:ascii="Times New Roman" w:hAnsi="Times New Roman" w:cs="Times New Roman"/>
          <w:sz w:val="28"/>
          <w:szCs w:val="24"/>
        </w:rPr>
        <w:t xml:space="preserve">Степень эффективности расходования бюджетных средств за период с января по </w:t>
      </w:r>
      <w:r w:rsidR="00BF5447">
        <w:rPr>
          <w:rFonts w:ascii="Times New Roman" w:hAnsi="Times New Roman" w:cs="Times New Roman"/>
          <w:sz w:val="28"/>
          <w:szCs w:val="24"/>
        </w:rPr>
        <w:t>декабрь</w:t>
      </w:r>
      <w:r w:rsidRPr="00F00A36">
        <w:rPr>
          <w:rFonts w:ascii="Times New Roman" w:hAnsi="Times New Roman" w:cs="Times New Roman"/>
          <w:sz w:val="28"/>
          <w:szCs w:val="24"/>
        </w:rPr>
        <w:t xml:space="preserve"> 201</w:t>
      </w:r>
      <w:r>
        <w:rPr>
          <w:rFonts w:ascii="Times New Roman" w:hAnsi="Times New Roman" w:cs="Times New Roman"/>
          <w:sz w:val="28"/>
          <w:szCs w:val="24"/>
        </w:rPr>
        <w:t xml:space="preserve">6 года составила </w:t>
      </w:r>
      <w:r w:rsidR="00BF5447">
        <w:rPr>
          <w:rFonts w:ascii="Times New Roman" w:hAnsi="Times New Roman" w:cs="Times New Roman"/>
          <w:sz w:val="28"/>
          <w:szCs w:val="24"/>
        </w:rPr>
        <w:t>9,7</w:t>
      </w:r>
      <w:r>
        <w:rPr>
          <w:rFonts w:ascii="Times New Roman" w:hAnsi="Times New Roman" w:cs="Times New Roman"/>
          <w:sz w:val="28"/>
          <w:szCs w:val="24"/>
        </w:rPr>
        <w:t>%</w:t>
      </w:r>
      <w:r w:rsidRPr="00F00A36">
        <w:rPr>
          <w:rFonts w:ascii="Times New Roman" w:hAnsi="Times New Roman" w:cs="Times New Roman"/>
          <w:sz w:val="28"/>
          <w:szCs w:val="24"/>
        </w:rPr>
        <w:t xml:space="preserve">. Надо заметить, что по существующей методике расчета степени эффективности расходования бюджетных средств, если показатель </w:t>
      </w:r>
      <w:r w:rsidR="00095A2E">
        <w:rPr>
          <w:rFonts w:ascii="Times New Roman" w:hAnsi="Times New Roman" w:cs="Times New Roman"/>
          <w:sz w:val="28"/>
          <w:szCs w:val="24"/>
        </w:rPr>
        <w:t>составляет более</w:t>
      </w:r>
      <w:r>
        <w:rPr>
          <w:rFonts w:ascii="Times New Roman" w:hAnsi="Times New Roman" w:cs="Times New Roman"/>
          <w:sz w:val="28"/>
          <w:szCs w:val="24"/>
        </w:rPr>
        <w:t xml:space="preserve"> </w:t>
      </w:r>
      <w:r w:rsidR="00BF5447">
        <w:rPr>
          <w:rFonts w:ascii="Times New Roman" w:hAnsi="Times New Roman" w:cs="Times New Roman"/>
          <w:sz w:val="28"/>
          <w:szCs w:val="24"/>
        </w:rPr>
        <w:t>5</w:t>
      </w:r>
      <w:r w:rsidR="00095A2E">
        <w:rPr>
          <w:rFonts w:ascii="Times New Roman" w:hAnsi="Times New Roman" w:cs="Times New Roman"/>
          <w:sz w:val="28"/>
          <w:szCs w:val="24"/>
        </w:rPr>
        <w:t>%</w:t>
      </w:r>
      <w:r w:rsidR="00BF5447">
        <w:rPr>
          <w:rFonts w:ascii="Times New Roman" w:hAnsi="Times New Roman" w:cs="Times New Roman"/>
          <w:sz w:val="28"/>
          <w:szCs w:val="24"/>
        </w:rPr>
        <w:t xml:space="preserve"> и менее 12%</w:t>
      </w:r>
      <w:r w:rsidRPr="00F00A36">
        <w:rPr>
          <w:rFonts w:ascii="Times New Roman" w:hAnsi="Times New Roman" w:cs="Times New Roman"/>
          <w:sz w:val="28"/>
          <w:szCs w:val="24"/>
        </w:rPr>
        <w:t xml:space="preserve">, оценка деятельности считается </w:t>
      </w:r>
      <w:r w:rsidR="00BF5447">
        <w:rPr>
          <w:rFonts w:ascii="Times New Roman" w:hAnsi="Times New Roman" w:cs="Times New Roman"/>
          <w:sz w:val="28"/>
          <w:szCs w:val="24"/>
        </w:rPr>
        <w:t xml:space="preserve">нормативно </w:t>
      </w:r>
      <w:r w:rsidRPr="00F00A36">
        <w:rPr>
          <w:rFonts w:ascii="Times New Roman" w:hAnsi="Times New Roman" w:cs="Times New Roman"/>
          <w:sz w:val="28"/>
          <w:szCs w:val="24"/>
        </w:rPr>
        <w:t xml:space="preserve">эффективной и </w:t>
      </w:r>
      <w:r w:rsidR="00BF5447">
        <w:rPr>
          <w:rFonts w:ascii="Times New Roman" w:hAnsi="Times New Roman" w:cs="Times New Roman"/>
          <w:sz w:val="28"/>
          <w:szCs w:val="24"/>
        </w:rPr>
        <w:t xml:space="preserve">не </w:t>
      </w:r>
      <w:r>
        <w:rPr>
          <w:rFonts w:ascii="Times New Roman" w:hAnsi="Times New Roman" w:cs="Times New Roman"/>
          <w:sz w:val="28"/>
          <w:szCs w:val="24"/>
        </w:rPr>
        <w:t>нуждается</w:t>
      </w:r>
      <w:r w:rsidRPr="00F00A36">
        <w:rPr>
          <w:rFonts w:ascii="Times New Roman" w:hAnsi="Times New Roman" w:cs="Times New Roman"/>
          <w:sz w:val="28"/>
          <w:szCs w:val="24"/>
        </w:rPr>
        <w:t xml:space="preserve"> </w:t>
      </w:r>
      <w:r>
        <w:rPr>
          <w:rFonts w:ascii="Times New Roman" w:hAnsi="Times New Roman" w:cs="Times New Roman"/>
          <w:sz w:val="28"/>
          <w:szCs w:val="24"/>
        </w:rPr>
        <w:t>в особ</w:t>
      </w:r>
      <w:r w:rsidR="00BF5447">
        <w:rPr>
          <w:rFonts w:ascii="Times New Roman" w:hAnsi="Times New Roman" w:cs="Times New Roman"/>
          <w:sz w:val="28"/>
          <w:szCs w:val="24"/>
        </w:rPr>
        <w:t>ых</w:t>
      </w:r>
      <w:r>
        <w:rPr>
          <w:rFonts w:ascii="Times New Roman" w:hAnsi="Times New Roman" w:cs="Times New Roman"/>
          <w:sz w:val="28"/>
          <w:szCs w:val="24"/>
        </w:rPr>
        <w:t xml:space="preserve"> </w:t>
      </w:r>
      <w:r w:rsidR="00BF5447">
        <w:rPr>
          <w:rFonts w:ascii="Times New Roman" w:hAnsi="Times New Roman" w:cs="Times New Roman"/>
          <w:sz w:val="28"/>
          <w:szCs w:val="24"/>
        </w:rPr>
        <w:t>действиях (возможно очень точно определена начальная цена контракта)</w:t>
      </w:r>
      <w:r w:rsidRPr="00F00A36">
        <w:rPr>
          <w:rFonts w:ascii="Times New Roman" w:hAnsi="Times New Roman" w:cs="Times New Roman"/>
          <w:sz w:val="28"/>
          <w:szCs w:val="24"/>
        </w:rPr>
        <w:t>.</w:t>
      </w:r>
    </w:p>
    <w:p w:rsidR="00BB0F70" w:rsidRDefault="00BB0F70" w:rsidP="00BB0F70">
      <w:pPr>
        <w:tabs>
          <w:tab w:val="left" w:pos="993"/>
        </w:tabs>
        <w:jc w:val="center"/>
        <w:rPr>
          <w:rFonts w:ascii="Times New Roman" w:hAnsi="Times New Roman" w:cs="Times New Roman"/>
          <w:sz w:val="28"/>
          <w:szCs w:val="28"/>
        </w:rPr>
      </w:pPr>
      <w:r w:rsidRPr="00BB0F70">
        <w:rPr>
          <w:rFonts w:ascii="Times New Roman" w:hAnsi="Times New Roman" w:cs="Times New Roman"/>
          <w:sz w:val="28"/>
          <w:szCs w:val="28"/>
        </w:rPr>
        <w:t>Экономия по размещенным закупкам в разрезе способов определения поставщика (подрядчика, исполнителя) за 2016 год</w:t>
      </w:r>
    </w:p>
    <w:tbl>
      <w:tblPr>
        <w:tblW w:w="9924" w:type="dxa"/>
        <w:tblInd w:w="-431" w:type="dxa"/>
        <w:tblLook w:val="04A0" w:firstRow="1" w:lastRow="0" w:firstColumn="1" w:lastColumn="0" w:noHBand="0" w:noVBand="1"/>
      </w:tblPr>
      <w:tblGrid>
        <w:gridCol w:w="2411"/>
        <w:gridCol w:w="1984"/>
        <w:gridCol w:w="1985"/>
        <w:gridCol w:w="1984"/>
        <w:gridCol w:w="1560"/>
      </w:tblGrid>
      <w:tr w:rsidR="00BF5447" w:rsidRPr="00753E8B" w:rsidTr="00BF5447">
        <w:trPr>
          <w:trHeight w:val="690"/>
        </w:trPr>
        <w:tc>
          <w:tcPr>
            <w:tcW w:w="24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447" w:rsidRPr="00753E8B" w:rsidRDefault="00BF5447" w:rsidP="00B978B7">
            <w:pPr>
              <w:spacing w:after="0" w:line="240" w:lineRule="auto"/>
              <w:jc w:val="center"/>
              <w:rPr>
                <w:rFonts w:ascii="Times New Roman" w:eastAsia="Times New Roman" w:hAnsi="Times New Roman" w:cs="Times New Roman"/>
                <w:color w:val="000000"/>
                <w:sz w:val="20"/>
                <w:szCs w:val="20"/>
                <w:lang w:eastAsia="ru-RU"/>
              </w:rPr>
            </w:pPr>
            <w:r w:rsidRPr="00F67708">
              <w:rPr>
                <w:rFonts w:ascii="Times New Roman" w:eastAsia="Times New Roman" w:hAnsi="Times New Roman" w:cs="Times New Roman"/>
                <w:b/>
                <w:color w:val="000000"/>
                <w:sz w:val="18"/>
                <w:szCs w:val="18"/>
                <w:lang w:eastAsia="ru-RU"/>
              </w:rPr>
              <w:t>Способы определения поставщиков (подрядчиков, исполнителей)</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447" w:rsidRPr="00753E8B" w:rsidRDefault="00BF5447" w:rsidP="00B978B7">
            <w:pPr>
              <w:spacing w:after="0" w:line="240" w:lineRule="auto"/>
              <w:jc w:val="center"/>
              <w:rPr>
                <w:rFonts w:ascii="Times New Roman" w:eastAsia="Times New Roman" w:hAnsi="Times New Roman" w:cs="Times New Roman"/>
                <w:b/>
                <w:bCs/>
                <w:color w:val="000000"/>
                <w:sz w:val="20"/>
                <w:szCs w:val="20"/>
                <w:lang w:eastAsia="ru-RU"/>
              </w:rPr>
            </w:pPr>
            <w:r w:rsidRPr="00753E8B">
              <w:rPr>
                <w:rFonts w:ascii="Times New Roman" w:eastAsia="Times New Roman" w:hAnsi="Times New Roman" w:cs="Times New Roman"/>
                <w:b/>
                <w:bCs/>
                <w:color w:val="000000"/>
                <w:sz w:val="20"/>
                <w:szCs w:val="20"/>
                <w:lang w:eastAsia="ru-RU"/>
              </w:rPr>
              <w:t>Начальная (максимальная) цена контракта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447" w:rsidRPr="00753E8B" w:rsidRDefault="00BF5447" w:rsidP="00B978B7">
            <w:pPr>
              <w:spacing w:after="0" w:line="240" w:lineRule="auto"/>
              <w:jc w:val="center"/>
              <w:rPr>
                <w:rFonts w:ascii="Times New Roman" w:eastAsia="Times New Roman" w:hAnsi="Times New Roman" w:cs="Times New Roman"/>
                <w:b/>
                <w:bCs/>
                <w:color w:val="000000"/>
                <w:sz w:val="20"/>
                <w:szCs w:val="20"/>
                <w:lang w:eastAsia="ru-RU"/>
              </w:rPr>
            </w:pPr>
            <w:r w:rsidRPr="00753E8B">
              <w:rPr>
                <w:rFonts w:ascii="Times New Roman" w:eastAsia="Times New Roman" w:hAnsi="Times New Roman" w:cs="Times New Roman"/>
                <w:b/>
                <w:bCs/>
                <w:color w:val="000000"/>
                <w:sz w:val="20"/>
                <w:szCs w:val="20"/>
                <w:lang w:eastAsia="ru-RU"/>
              </w:rPr>
              <w:t>НМЦК (состоявшихся торгов)</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447" w:rsidRPr="00753E8B" w:rsidRDefault="00BF5447" w:rsidP="00B978B7">
            <w:pPr>
              <w:spacing w:after="0" w:line="240" w:lineRule="auto"/>
              <w:jc w:val="center"/>
              <w:rPr>
                <w:rFonts w:ascii="Times New Roman" w:eastAsia="Times New Roman" w:hAnsi="Times New Roman" w:cs="Times New Roman"/>
                <w:b/>
                <w:bCs/>
                <w:color w:val="000000"/>
                <w:sz w:val="20"/>
                <w:szCs w:val="20"/>
                <w:lang w:eastAsia="ru-RU"/>
              </w:rPr>
            </w:pPr>
            <w:r w:rsidRPr="00753E8B">
              <w:rPr>
                <w:rFonts w:ascii="Times New Roman" w:eastAsia="Times New Roman" w:hAnsi="Times New Roman" w:cs="Times New Roman"/>
                <w:b/>
                <w:bCs/>
                <w:color w:val="000000"/>
                <w:sz w:val="20"/>
                <w:szCs w:val="20"/>
                <w:lang w:eastAsia="ru-RU"/>
              </w:rPr>
              <w:t>Сумма по протоколу</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447" w:rsidRPr="00753E8B" w:rsidRDefault="00BF5447" w:rsidP="00B978B7">
            <w:pPr>
              <w:spacing w:after="0" w:line="240" w:lineRule="auto"/>
              <w:jc w:val="center"/>
              <w:rPr>
                <w:rFonts w:ascii="Times New Roman" w:eastAsia="Times New Roman" w:hAnsi="Times New Roman" w:cs="Times New Roman"/>
                <w:b/>
                <w:bCs/>
                <w:color w:val="000000"/>
                <w:sz w:val="20"/>
                <w:szCs w:val="20"/>
                <w:lang w:eastAsia="ru-RU"/>
              </w:rPr>
            </w:pPr>
            <w:r w:rsidRPr="00753E8B">
              <w:rPr>
                <w:rFonts w:ascii="Times New Roman" w:eastAsia="Times New Roman" w:hAnsi="Times New Roman" w:cs="Times New Roman"/>
                <w:b/>
                <w:bCs/>
                <w:color w:val="000000"/>
                <w:sz w:val="20"/>
                <w:szCs w:val="20"/>
                <w:lang w:eastAsia="ru-RU"/>
              </w:rPr>
              <w:t>Экономия</w:t>
            </w:r>
          </w:p>
        </w:tc>
      </w:tr>
      <w:tr w:rsidR="00BF5447" w:rsidRPr="007457F7" w:rsidTr="00BF5447">
        <w:trPr>
          <w:trHeight w:val="329"/>
        </w:trPr>
        <w:tc>
          <w:tcPr>
            <w:tcW w:w="24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447" w:rsidRPr="00753E8B" w:rsidRDefault="00BF5447" w:rsidP="00B978B7">
            <w:pPr>
              <w:spacing w:after="0" w:line="240" w:lineRule="auto"/>
              <w:rPr>
                <w:rFonts w:ascii="Times New Roman" w:eastAsia="Times New Roman" w:hAnsi="Times New Roman" w:cs="Times New Roman"/>
                <w:b/>
                <w:bCs/>
                <w:color w:val="000000"/>
                <w:sz w:val="20"/>
                <w:szCs w:val="20"/>
                <w:lang w:eastAsia="ru-RU"/>
              </w:rPr>
            </w:pPr>
            <w:r w:rsidRPr="00753E8B">
              <w:rPr>
                <w:rFonts w:ascii="Times New Roman" w:eastAsia="Times New Roman" w:hAnsi="Times New Roman" w:cs="Times New Roman"/>
                <w:b/>
                <w:bCs/>
                <w:color w:val="000000"/>
                <w:sz w:val="20"/>
                <w:szCs w:val="20"/>
                <w:lang w:eastAsia="ru-RU"/>
              </w:rPr>
              <w:t>Электронный аукцион</w:t>
            </w:r>
          </w:p>
        </w:tc>
        <w:tc>
          <w:tcPr>
            <w:tcW w:w="1984" w:type="dxa"/>
            <w:tcBorders>
              <w:top w:val="nil"/>
              <w:left w:val="nil"/>
              <w:bottom w:val="single" w:sz="4" w:space="0" w:color="auto"/>
              <w:right w:val="single" w:sz="4" w:space="0" w:color="auto"/>
            </w:tcBorders>
            <w:shd w:val="clear" w:color="auto" w:fill="auto"/>
            <w:noWrap/>
            <w:hideMark/>
          </w:tcPr>
          <w:p w:rsidR="00BF5447" w:rsidRPr="007457F7" w:rsidRDefault="00BF5447" w:rsidP="00B978B7">
            <w:pPr>
              <w:pStyle w:val="a5"/>
              <w:jc w:val="center"/>
              <w:rPr>
                <w:rFonts w:ascii="Times New Roman" w:hAnsi="Times New Roman" w:cs="Times New Roman"/>
                <w:sz w:val="20"/>
                <w:szCs w:val="20"/>
              </w:rPr>
            </w:pPr>
            <w:r w:rsidRPr="007457F7">
              <w:rPr>
                <w:rFonts w:ascii="Times New Roman" w:hAnsi="Times New Roman" w:cs="Times New Roman"/>
                <w:sz w:val="20"/>
                <w:szCs w:val="20"/>
              </w:rPr>
              <w:t>3 854 656 007,25</w:t>
            </w:r>
          </w:p>
        </w:tc>
        <w:tc>
          <w:tcPr>
            <w:tcW w:w="1985" w:type="dxa"/>
            <w:tcBorders>
              <w:top w:val="nil"/>
              <w:left w:val="nil"/>
              <w:bottom w:val="single" w:sz="4" w:space="0" w:color="auto"/>
              <w:right w:val="single" w:sz="4" w:space="0" w:color="auto"/>
            </w:tcBorders>
            <w:shd w:val="clear" w:color="auto" w:fill="auto"/>
            <w:noWrap/>
            <w:hideMark/>
          </w:tcPr>
          <w:p w:rsidR="00BF5447" w:rsidRPr="007457F7" w:rsidRDefault="00BF5447" w:rsidP="00B978B7">
            <w:pPr>
              <w:pStyle w:val="a5"/>
              <w:jc w:val="center"/>
              <w:rPr>
                <w:rFonts w:ascii="Times New Roman" w:hAnsi="Times New Roman" w:cs="Times New Roman"/>
                <w:sz w:val="20"/>
                <w:szCs w:val="20"/>
              </w:rPr>
            </w:pPr>
            <w:r w:rsidRPr="007457F7">
              <w:rPr>
                <w:rFonts w:ascii="Times New Roman" w:hAnsi="Times New Roman" w:cs="Times New Roman"/>
                <w:sz w:val="20"/>
                <w:szCs w:val="20"/>
              </w:rPr>
              <w:t>3 371 088 903,01</w:t>
            </w:r>
          </w:p>
        </w:tc>
        <w:tc>
          <w:tcPr>
            <w:tcW w:w="1984" w:type="dxa"/>
            <w:tcBorders>
              <w:top w:val="nil"/>
              <w:left w:val="nil"/>
              <w:bottom w:val="single" w:sz="4" w:space="0" w:color="auto"/>
              <w:right w:val="single" w:sz="4" w:space="0" w:color="auto"/>
            </w:tcBorders>
            <w:shd w:val="clear" w:color="auto" w:fill="auto"/>
            <w:noWrap/>
            <w:hideMark/>
          </w:tcPr>
          <w:p w:rsidR="00BF5447" w:rsidRPr="007457F7" w:rsidRDefault="00BF5447" w:rsidP="00B978B7">
            <w:pPr>
              <w:pStyle w:val="a5"/>
              <w:jc w:val="center"/>
              <w:rPr>
                <w:rFonts w:ascii="Times New Roman" w:hAnsi="Times New Roman" w:cs="Times New Roman"/>
                <w:sz w:val="20"/>
                <w:szCs w:val="20"/>
              </w:rPr>
            </w:pPr>
            <w:r w:rsidRPr="007457F7">
              <w:rPr>
                <w:rFonts w:ascii="Times New Roman" w:hAnsi="Times New Roman" w:cs="Times New Roman"/>
                <w:sz w:val="20"/>
                <w:szCs w:val="20"/>
              </w:rPr>
              <w:t>3 046 373 855,74</w:t>
            </w:r>
          </w:p>
        </w:tc>
        <w:tc>
          <w:tcPr>
            <w:tcW w:w="1560" w:type="dxa"/>
            <w:tcBorders>
              <w:top w:val="nil"/>
              <w:left w:val="nil"/>
              <w:bottom w:val="single" w:sz="4" w:space="0" w:color="auto"/>
              <w:right w:val="single" w:sz="4" w:space="0" w:color="auto"/>
            </w:tcBorders>
            <w:shd w:val="clear" w:color="auto" w:fill="auto"/>
            <w:noWrap/>
            <w:hideMark/>
          </w:tcPr>
          <w:p w:rsidR="00BF5447" w:rsidRPr="007457F7" w:rsidRDefault="00BF5447" w:rsidP="00B978B7">
            <w:pPr>
              <w:pStyle w:val="a5"/>
              <w:jc w:val="center"/>
              <w:rPr>
                <w:rFonts w:ascii="Times New Roman" w:hAnsi="Times New Roman" w:cs="Times New Roman"/>
                <w:sz w:val="20"/>
                <w:szCs w:val="20"/>
              </w:rPr>
            </w:pPr>
            <w:r w:rsidRPr="007457F7">
              <w:rPr>
                <w:rFonts w:ascii="Times New Roman" w:hAnsi="Times New Roman" w:cs="Times New Roman"/>
                <w:sz w:val="20"/>
                <w:szCs w:val="20"/>
              </w:rPr>
              <w:t>324 715 047,27</w:t>
            </w:r>
          </w:p>
        </w:tc>
      </w:tr>
      <w:tr w:rsidR="00BF5447" w:rsidRPr="007457F7" w:rsidTr="00BF5447">
        <w:trPr>
          <w:trHeight w:val="151"/>
        </w:trPr>
        <w:tc>
          <w:tcPr>
            <w:tcW w:w="2411" w:type="dxa"/>
            <w:tcBorders>
              <w:top w:val="nil"/>
              <w:left w:val="single" w:sz="4" w:space="0" w:color="auto"/>
              <w:bottom w:val="single" w:sz="4" w:space="0" w:color="auto"/>
              <w:right w:val="single" w:sz="4" w:space="0" w:color="auto"/>
            </w:tcBorders>
            <w:shd w:val="clear" w:color="auto" w:fill="auto"/>
            <w:noWrap/>
            <w:vAlign w:val="bottom"/>
            <w:hideMark/>
          </w:tcPr>
          <w:p w:rsidR="00BF5447" w:rsidRPr="00753E8B" w:rsidRDefault="00BF5447" w:rsidP="00B978B7">
            <w:pPr>
              <w:spacing w:after="0" w:line="240" w:lineRule="auto"/>
              <w:rPr>
                <w:rFonts w:ascii="Times New Roman" w:eastAsia="Times New Roman" w:hAnsi="Times New Roman" w:cs="Times New Roman"/>
                <w:b/>
                <w:bCs/>
                <w:color w:val="000000"/>
                <w:sz w:val="20"/>
                <w:szCs w:val="20"/>
                <w:lang w:eastAsia="ru-RU"/>
              </w:rPr>
            </w:pPr>
            <w:r w:rsidRPr="00753E8B">
              <w:rPr>
                <w:rFonts w:ascii="Times New Roman" w:eastAsia="Times New Roman" w:hAnsi="Times New Roman" w:cs="Times New Roman"/>
                <w:b/>
                <w:bCs/>
                <w:color w:val="000000"/>
                <w:sz w:val="20"/>
                <w:szCs w:val="20"/>
                <w:lang w:eastAsia="ru-RU"/>
              </w:rPr>
              <w:t>Конкурсы</w:t>
            </w:r>
            <w:r>
              <w:rPr>
                <w:rFonts w:ascii="Times New Roman" w:eastAsia="Times New Roman" w:hAnsi="Times New Roman" w:cs="Times New Roman"/>
                <w:b/>
                <w:bCs/>
                <w:color w:val="000000"/>
                <w:sz w:val="20"/>
                <w:szCs w:val="20"/>
                <w:lang w:eastAsia="ru-RU"/>
              </w:rPr>
              <w:t>:</w:t>
            </w:r>
          </w:p>
        </w:tc>
        <w:tc>
          <w:tcPr>
            <w:tcW w:w="1984" w:type="dxa"/>
            <w:tcBorders>
              <w:top w:val="nil"/>
              <w:left w:val="nil"/>
              <w:bottom w:val="single" w:sz="4" w:space="0" w:color="auto"/>
              <w:right w:val="single" w:sz="4" w:space="0" w:color="auto"/>
            </w:tcBorders>
            <w:shd w:val="clear" w:color="auto" w:fill="auto"/>
            <w:noWrap/>
            <w:vAlign w:val="bottom"/>
            <w:hideMark/>
          </w:tcPr>
          <w:p w:rsidR="00BF5447" w:rsidRPr="007457F7" w:rsidRDefault="00BF5447" w:rsidP="00B978B7">
            <w:pPr>
              <w:pStyle w:val="a5"/>
              <w:jc w:val="center"/>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auto" w:fill="auto"/>
            <w:noWrap/>
            <w:vAlign w:val="bottom"/>
            <w:hideMark/>
          </w:tcPr>
          <w:p w:rsidR="00BF5447" w:rsidRPr="007457F7" w:rsidRDefault="00BF5447" w:rsidP="00B978B7">
            <w:pPr>
              <w:pStyle w:val="a5"/>
              <w:jc w:val="center"/>
              <w:rPr>
                <w:rFonts w:ascii="Times New Roman" w:eastAsia="Times New Roman" w:hAnsi="Times New Roman" w:cs="Times New Roman"/>
                <w:color w:val="000000"/>
                <w:sz w:val="20"/>
                <w:szCs w:val="20"/>
                <w:lang w:eastAsia="ru-RU"/>
              </w:rPr>
            </w:pPr>
          </w:p>
        </w:tc>
        <w:tc>
          <w:tcPr>
            <w:tcW w:w="1984" w:type="dxa"/>
            <w:tcBorders>
              <w:top w:val="nil"/>
              <w:left w:val="nil"/>
              <w:bottom w:val="single" w:sz="4" w:space="0" w:color="auto"/>
              <w:right w:val="single" w:sz="4" w:space="0" w:color="auto"/>
            </w:tcBorders>
            <w:shd w:val="clear" w:color="auto" w:fill="auto"/>
            <w:noWrap/>
            <w:vAlign w:val="bottom"/>
            <w:hideMark/>
          </w:tcPr>
          <w:p w:rsidR="00BF5447" w:rsidRPr="007457F7" w:rsidRDefault="00BF5447" w:rsidP="00B978B7">
            <w:pPr>
              <w:pStyle w:val="a5"/>
              <w:jc w:val="center"/>
              <w:rPr>
                <w:rFonts w:ascii="Times New Roman" w:eastAsia="Times New Roman" w:hAnsi="Times New Roman" w:cs="Times New Roman"/>
                <w:color w:val="000000"/>
                <w:sz w:val="20"/>
                <w:szCs w:val="20"/>
                <w:lang w:eastAsia="ru-RU"/>
              </w:rPr>
            </w:pPr>
          </w:p>
        </w:tc>
        <w:tc>
          <w:tcPr>
            <w:tcW w:w="1560" w:type="dxa"/>
            <w:tcBorders>
              <w:top w:val="nil"/>
              <w:left w:val="nil"/>
              <w:bottom w:val="single" w:sz="4" w:space="0" w:color="auto"/>
              <w:right w:val="single" w:sz="4" w:space="0" w:color="auto"/>
            </w:tcBorders>
            <w:shd w:val="clear" w:color="auto" w:fill="auto"/>
            <w:noWrap/>
            <w:vAlign w:val="bottom"/>
            <w:hideMark/>
          </w:tcPr>
          <w:p w:rsidR="00BF5447" w:rsidRPr="007457F7" w:rsidRDefault="00BF5447" w:rsidP="00B978B7">
            <w:pPr>
              <w:pStyle w:val="a5"/>
              <w:jc w:val="center"/>
              <w:rPr>
                <w:rFonts w:ascii="Times New Roman" w:eastAsia="Times New Roman" w:hAnsi="Times New Roman" w:cs="Times New Roman"/>
                <w:color w:val="000000"/>
                <w:sz w:val="20"/>
                <w:szCs w:val="20"/>
                <w:lang w:eastAsia="ru-RU"/>
              </w:rPr>
            </w:pPr>
          </w:p>
        </w:tc>
      </w:tr>
      <w:tr w:rsidR="00BF5447" w:rsidRPr="007457F7" w:rsidTr="00BF5447">
        <w:trPr>
          <w:trHeight w:val="198"/>
        </w:trPr>
        <w:tc>
          <w:tcPr>
            <w:tcW w:w="2411" w:type="dxa"/>
            <w:tcBorders>
              <w:top w:val="nil"/>
              <w:left w:val="single" w:sz="4" w:space="0" w:color="auto"/>
              <w:bottom w:val="single" w:sz="4" w:space="0" w:color="auto"/>
              <w:right w:val="single" w:sz="4" w:space="0" w:color="auto"/>
            </w:tcBorders>
            <w:shd w:val="clear" w:color="auto" w:fill="auto"/>
            <w:noWrap/>
            <w:vAlign w:val="bottom"/>
            <w:hideMark/>
          </w:tcPr>
          <w:p w:rsidR="00BF5447" w:rsidRPr="00753E8B" w:rsidRDefault="00BF5447" w:rsidP="00B978B7">
            <w:pPr>
              <w:spacing w:after="0" w:line="240" w:lineRule="auto"/>
              <w:jc w:val="right"/>
              <w:rPr>
                <w:rFonts w:ascii="Times New Roman" w:eastAsia="Times New Roman" w:hAnsi="Times New Roman" w:cs="Times New Roman"/>
                <w:color w:val="000000"/>
                <w:sz w:val="20"/>
                <w:szCs w:val="20"/>
                <w:lang w:eastAsia="ru-RU"/>
              </w:rPr>
            </w:pPr>
            <w:r w:rsidRPr="00753E8B">
              <w:rPr>
                <w:rFonts w:ascii="Times New Roman" w:eastAsia="Times New Roman" w:hAnsi="Times New Roman" w:cs="Times New Roman"/>
                <w:color w:val="000000"/>
                <w:sz w:val="20"/>
                <w:szCs w:val="20"/>
                <w:lang w:eastAsia="ru-RU"/>
              </w:rPr>
              <w:t>открытый конкурс</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F5447" w:rsidRPr="007457F7" w:rsidRDefault="00BF5447" w:rsidP="00B978B7">
            <w:pPr>
              <w:pStyle w:val="a5"/>
              <w:jc w:val="center"/>
              <w:rPr>
                <w:rFonts w:ascii="Times New Roman" w:hAnsi="Times New Roman" w:cs="Times New Roman"/>
                <w:sz w:val="20"/>
                <w:szCs w:val="20"/>
              </w:rPr>
            </w:pPr>
            <w:r w:rsidRPr="007457F7">
              <w:rPr>
                <w:rFonts w:ascii="Times New Roman" w:hAnsi="Times New Roman" w:cs="Times New Roman"/>
                <w:sz w:val="20"/>
                <w:szCs w:val="20"/>
              </w:rPr>
              <w:t>919 825 749,89</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BF5447" w:rsidRPr="007457F7" w:rsidRDefault="00BF5447" w:rsidP="00B978B7">
            <w:pPr>
              <w:pStyle w:val="a5"/>
              <w:jc w:val="center"/>
              <w:rPr>
                <w:rFonts w:ascii="Times New Roman" w:hAnsi="Times New Roman" w:cs="Times New Roman"/>
                <w:sz w:val="20"/>
                <w:szCs w:val="20"/>
              </w:rPr>
            </w:pPr>
            <w:r w:rsidRPr="007457F7">
              <w:rPr>
                <w:rFonts w:ascii="Times New Roman" w:hAnsi="Times New Roman" w:cs="Times New Roman"/>
                <w:sz w:val="20"/>
                <w:szCs w:val="20"/>
              </w:rPr>
              <w:t>201 554 867,28</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BF5447" w:rsidRPr="007457F7" w:rsidRDefault="00BF5447" w:rsidP="00B978B7">
            <w:pPr>
              <w:pStyle w:val="a5"/>
              <w:jc w:val="center"/>
              <w:rPr>
                <w:rFonts w:ascii="Times New Roman" w:hAnsi="Times New Roman" w:cs="Times New Roman"/>
                <w:sz w:val="20"/>
                <w:szCs w:val="20"/>
              </w:rPr>
            </w:pPr>
            <w:r w:rsidRPr="007457F7">
              <w:rPr>
                <w:rFonts w:ascii="Times New Roman" w:hAnsi="Times New Roman" w:cs="Times New Roman"/>
                <w:sz w:val="20"/>
                <w:szCs w:val="20"/>
              </w:rPr>
              <w:t>180 437 056,57</w:t>
            </w:r>
          </w:p>
        </w:tc>
        <w:tc>
          <w:tcPr>
            <w:tcW w:w="1560" w:type="dxa"/>
            <w:tcBorders>
              <w:top w:val="single" w:sz="4" w:space="0" w:color="auto"/>
              <w:left w:val="nil"/>
              <w:bottom w:val="single" w:sz="4" w:space="0" w:color="auto"/>
              <w:right w:val="single" w:sz="4" w:space="0" w:color="auto"/>
            </w:tcBorders>
            <w:shd w:val="clear" w:color="000000" w:fill="FFFFFF"/>
            <w:noWrap/>
            <w:vAlign w:val="bottom"/>
            <w:hideMark/>
          </w:tcPr>
          <w:p w:rsidR="00BF5447" w:rsidRPr="007457F7" w:rsidRDefault="00BF5447" w:rsidP="00B978B7">
            <w:pPr>
              <w:pStyle w:val="a5"/>
              <w:jc w:val="center"/>
              <w:rPr>
                <w:rFonts w:ascii="Times New Roman" w:hAnsi="Times New Roman" w:cs="Times New Roman"/>
                <w:sz w:val="20"/>
                <w:szCs w:val="20"/>
              </w:rPr>
            </w:pPr>
            <w:r w:rsidRPr="007457F7">
              <w:rPr>
                <w:rFonts w:ascii="Times New Roman" w:hAnsi="Times New Roman" w:cs="Times New Roman"/>
                <w:sz w:val="20"/>
                <w:szCs w:val="20"/>
              </w:rPr>
              <w:t>21 117 810,71</w:t>
            </w:r>
          </w:p>
        </w:tc>
      </w:tr>
      <w:tr w:rsidR="00BF5447" w:rsidRPr="007457F7" w:rsidTr="00BF5447">
        <w:trPr>
          <w:trHeight w:val="371"/>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BF5447" w:rsidRPr="00753E8B" w:rsidRDefault="00BF5447" w:rsidP="00B978B7">
            <w:pPr>
              <w:spacing w:after="0" w:line="240" w:lineRule="auto"/>
              <w:jc w:val="right"/>
              <w:rPr>
                <w:rFonts w:ascii="Times New Roman" w:eastAsia="Times New Roman" w:hAnsi="Times New Roman" w:cs="Times New Roman"/>
                <w:color w:val="000000"/>
                <w:sz w:val="20"/>
                <w:szCs w:val="20"/>
                <w:lang w:eastAsia="ru-RU"/>
              </w:rPr>
            </w:pPr>
            <w:r w:rsidRPr="00753E8B">
              <w:rPr>
                <w:rFonts w:ascii="Times New Roman" w:eastAsia="Times New Roman" w:hAnsi="Times New Roman" w:cs="Times New Roman"/>
                <w:color w:val="000000"/>
                <w:sz w:val="20"/>
                <w:szCs w:val="20"/>
                <w:lang w:eastAsia="ru-RU"/>
              </w:rPr>
              <w:t>конкурс с ограниченным участием</w:t>
            </w:r>
          </w:p>
        </w:tc>
        <w:tc>
          <w:tcPr>
            <w:tcW w:w="1984" w:type="dxa"/>
            <w:tcBorders>
              <w:top w:val="nil"/>
              <w:left w:val="single" w:sz="4" w:space="0" w:color="auto"/>
              <w:bottom w:val="single" w:sz="4" w:space="0" w:color="auto"/>
              <w:right w:val="single" w:sz="4" w:space="0" w:color="auto"/>
            </w:tcBorders>
            <w:shd w:val="clear" w:color="000000" w:fill="FFFFFF"/>
            <w:noWrap/>
            <w:vAlign w:val="bottom"/>
            <w:hideMark/>
          </w:tcPr>
          <w:p w:rsidR="00BF5447" w:rsidRPr="007457F7" w:rsidRDefault="00BF5447" w:rsidP="00B978B7">
            <w:pPr>
              <w:pStyle w:val="a5"/>
              <w:jc w:val="center"/>
              <w:rPr>
                <w:rFonts w:ascii="Times New Roman" w:hAnsi="Times New Roman" w:cs="Times New Roman"/>
                <w:sz w:val="20"/>
                <w:szCs w:val="20"/>
              </w:rPr>
            </w:pPr>
            <w:r w:rsidRPr="007457F7">
              <w:rPr>
                <w:rFonts w:ascii="Times New Roman" w:hAnsi="Times New Roman" w:cs="Times New Roman"/>
                <w:sz w:val="20"/>
                <w:szCs w:val="20"/>
              </w:rPr>
              <w:t>244 782 185,39</w:t>
            </w:r>
          </w:p>
        </w:tc>
        <w:tc>
          <w:tcPr>
            <w:tcW w:w="1985" w:type="dxa"/>
            <w:tcBorders>
              <w:top w:val="nil"/>
              <w:left w:val="nil"/>
              <w:bottom w:val="single" w:sz="4" w:space="0" w:color="auto"/>
              <w:right w:val="single" w:sz="4" w:space="0" w:color="auto"/>
            </w:tcBorders>
            <w:shd w:val="clear" w:color="000000" w:fill="FFFFFF"/>
            <w:noWrap/>
            <w:vAlign w:val="bottom"/>
            <w:hideMark/>
          </w:tcPr>
          <w:p w:rsidR="00BF5447" w:rsidRPr="007457F7" w:rsidRDefault="00BF5447" w:rsidP="00B978B7">
            <w:pPr>
              <w:pStyle w:val="a5"/>
              <w:jc w:val="center"/>
              <w:rPr>
                <w:rFonts w:ascii="Times New Roman" w:hAnsi="Times New Roman" w:cs="Times New Roman"/>
                <w:sz w:val="20"/>
                <w:szCs w:val="20"/>
              </w:rPr>
            </w:pPr>
            <w:r w:rsidRPr="007457F7">
              <w:rPr>
                <w:rFonts w:ascii="Times New Roman" w:hAnsi="Times New Roman" w:cs="Times New Roman"/>
                <w:sz w:val="20"/>
                <w:szCs w:val="20"/>
              </w:rPr>
              <w:t>220 060 285,34</w:t>
            </w:r>
          </w:p>
        </w:tc>
        <w:tc>
          <w:tcPr>
            <w:tcW w:w="1984" w:type="dxa"/>
            <w:tcBorders>
              <w:top w:val="nil"/>
              <w:left w:val="nil"/>
              <w:bottom w:val="single" w:sz="4" w:space="0" w:color="auto"/>
              <w:right w:val="single" w:sz="4" w:space="0" w:color="auto"/>
            </w:tcBorders>
            <w:shd w:val="clear" w:color="000000" w:fill="FFFFFF"/>
            <w:noWrap/>
            <w:vAlign w:val="bottom"/>
            <w:hideMark/>
          </w:tcPr>
          <w:p w:rsidR="00BF5447" w:rsidRPr="007457F7" w:rsidRDefault="00BF5447" w:rsidP="00B978B7">
            <w:pPr>
              <w:pStyle w:val="a5"/>
              <w:jc w:val="center"/>
              <w:rPr>
                <w:rFonts w:ascii="Times New Roman" w:hAnsi="Times New Roman" w:cs="Times New Roman"/>
                <w:sz w:val="20"/>
                <w:szCs w:val="20"/>
              </w:rPr>
            </w:pPr>
            <w:r w:rsidRPr="007457F7">
              <w:rPr>
                <w:rFonts w:ascii="Times New Roman" w:hAnsi="Times New Roman" w:cs="Times New Roman"/>
                <w:sz w:val="20"/>
                <w:szCs w:val="20"/>
              </w:rPr>
              <w:t>204 425 284,46</w:t>
            </w:r>
          </w:p>
        </w:tc>
        <w:tc>
          <w:tcPr>
            <w:tcW w:w="1560" w:type="dxa"/>
            <w:tcBorders>
              <w:top w:val="nil"/>
              <w:left w:val="nil"/>
              <w:bottom w:val="single" w:sz="4" w:space="0" w:color="auto"/>
              <w:right w:val="single" w:sz="4" w:space="0" w:color="auto"/>
            </w:tcBorders>
            <w:shd w:val="clear" w:color="000000" w:fill="FFFFFF"/>
            <w:noWrap/>
            <w:vAlign w:val="bottom"/>
            <w:hideMark/>
          </w:tcPr>
          <w:p w:rsidR="00BF5447" w:rsidRPr="007457F7" w:rsidRDefault="00BF5447" w:rsidP="00B978B7">
            <w:pPr>
              <w:pStyle w:val="a5"/>
              <w:jc w:val="center"/>
              <w:rPr>
                <w:rFonts w:ascii="Times New Roman" w:hAnsi="Times New Roman" w:cs="Times New Roman"/>
                <w:sz w:val="20"/>
                <w:szCs w:val="20"/>
              </w:rPr>
            </w:pPr>
            <w:r w:rsidRPr="007457F7">
              <w:rPr>
                <w:rFonts w:ascii="Times New Roman" w:hAnsi="Times New Roman" w:cs="Times New Roman"/>
                <w:sz w:val="20"/>
                <w:szCs w:val="20"/>
              </w:rPr>
              <w:t>15 635 000,88</w:t>
            </w:r>
          </w:p>
        </w:tc>
      </w:tr>
      <w:tr w:rsidR="00BF5447" w:rsidRPr="007457F7" w:rsidTr="00BF5447">
        <w:trPr>
          <w:trHeight w:val="381"/>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BF5447" w:rsidRPr="00753E8B" w:rsidRDefault="00BF5447" w:rsidP="00B978B7">
            <w:pPr>
              <w:spacing w:after="0" w:line="240" w:lineRule="auto"/>
              <w:jc w:val="right"/>
              <w:rPr>
                <w:rFonts w:ascii="Times New Roman" w:eastAsia="Times New Roman" w:hAnsi="Times New Roman" w:cs="Times New Roman"/>
                <w:color w:val="000000"/>
                <w:sz w:val="20"/>
                <w:szCs w:val="20"/>
                <w:lang w:eastAsia="ru-RU"/>
              </w:rPr>
            </w:pPr>
            <w:r w:rsidRPr="00753E8B">
              <w:rPr>
                <w:rFonts w:ascii="Times New Roman" w:eastAsia="Times New Roman" w:hAnsi="Times New Roman" w:cs="Times New Roman"/>
                <w:color w:val="000000"/>
                <w:sz w:val="20"/>
                <w:szCs w:val="20"/>
                <w:lang w:eastAsia="ru-RU"/>
              </w:rPr>
              <w:t>двухэтапный конкурс</w:t>
            </w:r>
          </w:p>
        </w:tc>
        <w:tc>
          <w:tcPr>
            <w:tcW w:w="1984" w:type="dxa"/>
            <w:tcBorders>
              <w:top w:val="nil"/>
              <w:left w:val="single" w:sz="4" w:space="0" w:color="auto"/>
              <w:bottom w:val="single" w:sz="4" w:space="0" w:color="auto"/>
              <w:right w:val="single" w:sz="4" w:space="0" w:color="auto"/>
            </w:tcBorders>
            <w:shd w:val="clear" w:color="000000" w:fill="FFFFFF"/>
            <w:noWrap/>
            <w:vAlign w:val="bottom"/>
            <w:hideMark/>
          </w:tcPr>
          <w:p w:rsidR="00BF5447" w:rsidRPr="007457F7" w:rsidRDefault="00BF5447" w:rsidP="00B978B7">
            <w:pPr>
              <w:pStyle w:val="a5"/>
              <w:jc w:val="center"/>
              <w:rPr>
                <w:rFonts w:ascii="Times New Roman" w:hAnsi="Times New Roman" w:cs="Times New Roman"/>
                <w:sz w:val="20"/>
                <w:szCs w:val="20"/>
              </w:rPr>
            </w:pPr>
            <w:r w:rsidRPr="007457F7">
              <w:rPr>
                <w:rFonts w:ascii="Times New Roman" w:hAnsi="Times New Roman" w:cs="Times New Roman"/>
                <w:sz w:val="20"/>
                <w:szCs w:val="20"/>
              </w:rPr>
              <w:t>0,00</w:t>
            </w:r>
          </w:p>
        </w:tc>
        <w:tc>
          <w:tcPr>
            <w:tcW w:w="1985" w:type="dxa"/>
            <w:tcBorders>
              <w:top w:val="nil"/>
              <w:left w:val="nil"/>
              <w:bottom w:val="single" w:sz="4" w:space="0" w:color="auto"/>
              <w:right w:val="single" w:sz="4" w:space="0" w:color="auto"/>
            </w:tcBorders>
            <w:shd w:val="clear" w:color="000000" w:fill="FFFFFF"/>
            <w:noWrap/>
            <w:vAlign w:val="bottom"/>
            <w:hideMark/>
          </w:tcPr>
          <w:p w:rsidR="00BF5447" w:rsidRPr="007457F7" w:rsidRDefault="00BF5447" w:rsidP="00B978B7">
            <w:pPr>
              <w:pStyle w:val="a5"/>
              <w:jc w:val="center"/>
              <w:rPr>
                <w:rFonts w:ascii="Times New Roman" w:hAnsi="Times New Roman" w:cs="Times New Roman"/>
                <w:sz w:val="20"/>
                <w:szCs w:val="20"/>
              </w:rPr>
            </w:pPr>
            <w:r w:rsidRPr="007457F7">
              <w:rPr>
                <w:rFonts w:ascii="Times New Roman" w:hAnsi="Times New Roman" w:cs="Times New Roman"/>
                <w:sz w:val="20"/>
                <w:szCs w:val="20"/>
              </w:rPr>
              <w:t>0,00</w:t>
            </w:r>
          </w:p>
        </w:tc>
        <w:tc>
          <w:tcPr>
            <w:tcW w:w="1984" w:type="dxa"/>
            <w:tcBorders>
              <w:top w:val="nil"/>
              <w:left w:val="nil"/>
              <w:bottom w:val="single" w:sz="4" w:space="0" w:color="auto"/>
              <w:right w:val="single" w:sz="4" w:space="0" w:color="auto"/>
            </w:tcBorders>
            <w:shd w:val="clear" w:color="000000" w:fill="FFFFFF"/>
            <w:noWrap/>
            <w:vAlign w:val="bottom"/>
            <w:hideMark/>
          </w:tcPr>
          <w:p w:rsidR="00BF5447" w:rsidRPr="007457F7" w:rsidRDefault="00BF5447" w:rsidP="00B978B7">
            <w:pPr>
              <w:pStyle w:val="a5"/>
              <w:jc w:val="center"/>
              <w:rPr>
                <w:rFonts w:ascii="Times New Roman" w:hAnsi="Times New Roman" w:cs="Times New Roman"/>
                <w:sz w:val="20"/>
                <w:szCs w:val="20"/>
              </w:rPr>
            </w:pPr>
            <w:r w:rsidRPr="007457F7">
              <w:rPr>
                <w:rFonts w:ascii="Times New Roman" w:hAnsi="Times New Roman" w:cs="Times New Roman"/>
                <w:sz w:val="20"/>
                <w:szCs w:val="20"/>
              </w:rPr>
              <w:t>0,00</w:t>
            </w:r>
          </w:p>
        </w:tc>
        <w:tc>
          <w:tcPr>
            <w:tcW w:w="1560" w:type="dxa"/>
            <w:tcBorders>
              <w:top w:val="nil"/>
              <w:left w:val="nil"/>
              <w:bottom w:val="single" w:sz="4" w:space="0" w:color="auto"/>
              <w:right w:val="single" w:sz="4" w:space="0" w:color="auto"/>
            </w:tcBorders>
            <w:shd w:val="clear" w:color="000000" w:fill="FFFFFF"/>
            <w:noWrap/>
            <w:vAlign w:val="bottom"/>
            <w:hideMark/>
          </w:tcPr>
          <w:p w:rsidR="00BF5447" w:rsidRPr="007457F7" w:rsidRDefault="00BF5447" w:rsidP="00B978B7">
            <w:pPr>
              <w:pStyle w:val="a5"/>
              <w:jc w:val="center"/>
              <w:rPr>
                <w:rFonts w:ascii="Times New Roman" w:hAnsi="Times New Roman" w:cs="Times New Roman"/>
                <w:sz w:val="20"/>
                <w:szCs w:val="20"/>
              </w:rPr>
            </w:pPr>
            <w:r w:rsidRPr="007457F7">
              <w:rPr>
                <w:rFonts w:ascii="Times New Roman" w:hAnsi="Times New Roman" w:cs="Times New Roman"/>
                <w:sz w:val="20"/>
                <w:szCs w:val="20"/>
              </w:rPr>
              <w:t>0,00</w:t>
            </w:r>
          </w:p>
        </w:tc>
      </w:tr>
      <w:tr w:rsidR="00BF5447" w:rsidRPr="007457F7" w:rsidTr="00BF5447">
        <w:trPr>
          <w:trHeight w:val="274"/>
        </w:trPr>
        <w:tc>
          <w:tcPr>
            <w:tcW w:w="2411" w:type="dxa"/>
            <w:tcBorders>
              <w:top w:val="nil"/>
              <w:left w:val="single" w:sz="4" w:space="0" w:color="auto"/>
              <w:bottom w:val="single" w:sz="4" w:space="0" w:color="auto"/>
              <w:right w:val="single" w:sz="4" w:space="0" w:color="auto"/>
            </w:tcBorders>
            <w:shd w:val="clear" w:color="auto" w:fill="auto"/>
            <w:noWrap/>
            <w:vAlign w:val="bottom"/>
            <w:hideMark/>
          </w:tcPr>
          <w:p w:rsidR="00BF5447" w:rsidRPr="00753E8B" w:rsidRDefault="00BF5447" w:rsidP="00B978B7">
            <w:pPr>
              <w:spacing w:after="0" w:line="240" w:lineRule="auto"/>
              <w:rPr>
                <w:rFonts w:ascii="Times New Roman" w:eastAsia="Times New Roman" w:hAnsi="Times New Roman" w:cs="Times New Roman"/>
                <w:b/>
                <w:bCs/>
                <w:color w:val="000000"/>
                <w:sz w:val="20"/>
                <w:szCs w:val="20"/>
                <w:lang w:eastAsia="ru-RU"/>
              </w:rPr>
            </w:pPr>
            <w:r w:rsidRPr="00753E8B">
              <w:rPr>
                <w:rFonts w:ascii="Times New Roman" w:eastAsia="Times New Roman" w:hAnsi="Times New Roman" w:cs="Times New Roman"/>
                <w:b/>
                <w:bCs/>
                <w:color w:val="000000"/>
                <w:sz w:val="20"/>
                <w:szCs w:val="20"/>
                <w:lang w:eastAsia="ru-RU"/>
              </w:rPr>
              <w:t xml:space="preserve">Запрос котировок </w:t>
            </w:r>
          </w:p>
        </w:tc>
        <w:tc>
          <w:tcPr>
            <w:tcW w:w="1984" w:type="dxa"/>
            <w:tcBorders>
              <w:top w:val="nil"/>
              <w:left w:val="single" w:sz="4" w:space="0" w:color="auto"/>
              <w:bottom w:val="single" w:sz="4" w:space="0" w:color="auto"/>
              <w:right w:val="single" w:sz="4" w:space="0" w:color="auto"/>
            </w:tcBorders>
            <w:shd w:val="clear" w:color="000000" w:fill="FFFFFF"/>
            <w:noWrap/>
            <w:vAlign w:val="bottom"/>
            <w:hideMark/>
          </w:tcPr>
          <w:p w:rsidR="00BF5447" w:rsidRPr="007457F7" w:rsidRDefault="00BF5447" w:rsidP="00B978B7">
            <w:pPr>
              <w:pStyle w:val="a5"/>
              <w:jc w:val="center"/>
              <w:rPr>
                <w:rFonts w:ascii="Times New Roman" w:hAnsi="Times New Roman" w:cs="Times New Roman"/>
                <w:sz w:val="20"/>
                <w:szCs w:val="20"/>
              </w:rPr>
            </w:pPr>
            <w:r w:rsidRPr="007457F7">
              <w:rPr>
                <w:rFonts w:ascii="Times New Roman" w:hAnsi="Times New Roman" w:cs="Times New Roman"/>
                <w:sz w:val="20"/>
                <w:szCs w:val="20"/>
              </w:rPr>
              <w:t>66 232 111,38</w:t>
            </w:r>
          </w:p>
        </w:tc>
        <w:tc>
          <w:tcPr>
            <w:tcW w:w="1985" w:type="dxa"/>
            <w:tcBorders>
              <w:top w:val="nil"/>
              <w:left w:val="nil"/>
              <w:bottom w:val="single" w:sz="4" w:space="0" w:color="auto"/>
              <w:right w:val="single" w:sz="4" w:space="0" w:color="auto"/>
            </w:tcBorders>
            <w:shd w:val="clear" w:color="000000" w:fill="FFFFFF"/>
            <w:noWrap/>
            <w:vAlign w:val="bottom"/>
            <w:hideMark/>
          </w:tcPr>
          <w:p w:rsidR="00BF5447" w:rsidRPr="007457F7" w:rsidRDefault="00BF5447" w:rsidP="00B978B7">
            <w:pPr>
              <w:pStyle w:val="a5"/>
              <w:jc w:val="center"/>
              <w:rPr>
                <w:rFonts w:ascii="Times New Roman" w:hAnsi="Times New Roman" w:cs="Times New Roman"/>
                <w:sz w:val="20"/>
                <w:szCs w:val="20"/>
              </w:rPr>
            </w:pPr>
            <w:r w:rsidRPr="007457F7">
              <w:rPr>
                <w:rFonts w:ascii="Times New Roman" w:hAnsi="Times New Roman" w:cs="Times New Roman"/>
                <w:sz w:val="20"/>
                <w:szCs w:val="20"/>
              </w:rPr>
              <w:t>62 230 561,55</w:t>
            </w:r>
          </w:p>
        </w:tc>
        <w:tc>
          <w:tcPr>
            <w:tcW w:w="1984" w:type="dxa"/>
            <w:tcBorders>
              <w:top w:val="nil"/>
              <w:left w:val="nil"/>
              <w:bottom w:val="single" w:sz="4" w:space="0" w:color="auto"/>
              <w:right w:val="single" w:sz="4" w:space="0" w:color="auto"/>
            </w:tcBorders>
            <w:shd w:val="clear" w:color="000000" w:fill="FFFFFF"/>
            <w:noWrap/>
            <w:vAlign w:val="bottom"/>
            <w:hideMark/>
          </w:tcPr>
          <w:p w:rsidR="00BF5447" w:rsidRPr="007457F7" w:rsidRDefault="00BF5447" w:rsidP="00B978B7">
            <w:pPr>
              <w:pStyle w:val="a5"/>
              <w:jc w:val="center"/>
              <w:rPr>
                <w:rFonts w:ascii="Times New Roman" w:hAnsi="Times New Roman" w:cs="Times New Roman"/>
                <w:sz w:val="20"/>
                <w:szCs w:val="20"/>
              </w:rPr>
            </w:pPr>
            <w:r w:rsidRPr="007457F7">
              <w:rPr>
                <w:rFonts w:ascii="Times New Roman" w:hAnsi="Times New Roman" w:cs="Times New Roman"/>
                <w:sz w:val="20"/>
                <w:szCs w:val="20"/>
              </w:rPr>
              <w:t>53 570 028,53</w:t>
            </w:r>
          </w:p>
        </w:tc>
        <w:tc>
          <w:tcPr>
            <w:tcW w:w="1560" w:type="dxa"/>
            <w:tcBorders>
              <w:top w:val="nil"/>
              <w:left w:val="nil"/>
              <w:bottom w:val="single" w:sz="4" w:space="0" w:color="auto"/>
              <w:right w:val="single" w:sz="4" w:space="0" w:color="auto"/>
            </w:tcBorders>
            <w:shd w:val="clear" w:color="000000" w:fill="FFFFFF"/>
            <w:noWrap/>
            <w:vAlign w:val="bottom"/>
            <w:hideMark/>
          </w:tcPr>
          <w:p w:rsidR="00BF5447" w:rsidRPr="007457F7" w:rsidRDefault="00BF5447" w:rsidP="00B978B7">
            <w:pPr>
              <w:pStyle w:val="a5"/>
              <w:jc w:val="center"/>
              <w:rPr>
                <w:rFonts w:ascii="Times New Roman" w:hAnsi="Times New Roman" w:cs="Times New Roman"/>
                <w:sz w:val="20"/>
                <w:szCs w:val="20"/>
              </w:rPr>
            </w:pPr>
            <w:r w:rsidRPr="007457F7">
              <w:rPr>
                <w:rFonts w:ascii="Times New Roman" w:hAnsi="Times New Roman" w:cs="Times New Roman"/>
                <w:sz w:val="20"/>
                <w:szCs w:val="20"/>
              </w:rPr>
              <w:t>8 660 533,02</w:t>
            </w:r>
          </w:p>
        </w:tc>
      </w:tr>
      <w:tr w:rsidR="00BF5447" w:rsidRPr="007457F7" w:rsidTr="00BF5447">
        <w:trPr>
          <w:trHeight w:val="274"/>
        </w:trPr>
        <w:tc>
          <w:tcPr>
            <w:tcW w:w="2411" w:type="dxa"/>
            <w:tcBorders>
              <w:top w:val="nil"/>
              <w:left w:val="single" w:sz="4" w:space="0" w:color="auto"/>
              <w:bottom w:val="single" w:sz="4" w:space="0" w:color="auto"/>
              <w:right w:val="single" w:sz="4" w:space="0" w:color="auto"/>
            </w:tcBorders>
            <w:shd w:val="clear" w:color="auto" w:fill="auto"/>
            <w:noWrap/>
            <w:vAlign w:val="bottom"/>
          </w:tcPr>
          <w:p w:rsidR="00BF5447" w:rsidRPr="00753E8B" w:rsidRDefault="00BF5447" w:rsidP="00B978B7">
            <w:pPr>
              <w:spacing w:after="0" w:line="240" w:lineRule="auto"/>
              <w:rPr>
                <w:rFonts w:ascii="Times New Roman" w:eastAsia="Times New Roman" w:hAnsi="Times New Roman" w:cs="Times New Roman"/>
                <w:b/>
                <w:bCs/>
                <w:color w:val="000000"/>
                <w:sz w:val="20"/>
                <w:szCs w:val="20"/>
                <w:lang w:eastAsia="ru-RU"/>
              </w:rPr>
            </w:pPr>
            <w:r w:rsidRPr="00753E8B">
              <w:rPr>
                <w:rFonts w:ascii="Times New Roman" w:eastAsia="Times New Roman" w:hAnsi="Times New Roman" w:cs="Times New Roman"/>
                <w:b/>
                <w:bCs/>
                <w:color w:val="000000"/>
                <w:sz w:val="20"/>
                <w:szCs w:val="20"/>
                <w:lang w:eastAsia="ru-RU"/>
              </w:rPr>
              <w:t>Запрос котировок (ЧС)</w:t>
            </w:r>
          </w:p>
        </w:tc>
        <w:tc>
          <w:tcPr>
            <w:tcW w:w="1984" w:type="dxa"/>
            <w:tcBorders>
              <w:top w:val="nil"/>
              <w:left w:val="single" w:sz="4" w:space="0" w:color="auto"/>
              <w:bottom w:val="single" w:sz="4" w:space="0" w:color="auto"/>
              <w:right w:val="single" w:sz="4" w:space="0" w:color="auto"/>
            </w:tcBorders>
            <w:shd w:val="clear" w:color="000000" w:fill="FFFFFF"/>
            <w:noWrap/>
            <w:vAlign w:val="bottom"/>
          </w:tcPr>
          <w:p w:rsidR="00BF5447" w:rsidRPr="007457F7" w:rsidRDefault="00BF5447" w:rsidP="00B978B7">
            <w:pPr>
              <w:pStyle w:val="a5"/>
              <w:jc w:val="center"/>
              <w:rPr>
                <w:rFonts w:ascii="Times New Roman" w:hAnsi="Times New Roman" w:cs="Times New Roman"/>
                <w:sz w:val="20"/>
                <w:szCs w:val="20"/>
              </w:rPr>
            </w:pPr>
            <w:r w:rsidRPr="007457F7">
              <w:rPr>
                <w:rFonts w:ascii="Times New Roman" w:hAnsi="Times New Roman" w:cs="Times New Roman"/>
                <w:sz w:val="20"/>
                <w:szCs w:val="20"/>
              </w:rPr>
              <w:t>16 641 363,89</w:t>
            </w:r>
          </w:p>
        </w:tc>
        <w:tc>
          <w:tcPr>
            <w:tcW w:w="1985" w:type="dxa"/>
            <w:tcBorders>
              <w:top w:val="nil"/>
              <w:left w:val="nil"/>
              <w:bottom w:val="single" w:sz="4" w:space="0" w:color="auto"/>
              <w:right w:val="single" w:sz="4" w:space="0" w:color="auto"/>
            </w:tcBorders>
            <w:shd w:val="clear" w:color="000000" w:fill="FFFFFF"/>
            <w:noWrap/>
            <w:vAlign w:val="bottom"/>
          </w:tcPr>
          <w:p w:rsidR="00BF5447" w:rsidRPr="007457F7" w:rsidRDefault="00BF5447" w:rsidP="00B978B7">
            <w:pPr>
              <w:pStyle w:val="a5"/>
              <w:jc w:val="center"/>
              <w:rPr>
                <w:rFonts w:ascii="Times New Roman" w:hAnsi="Times New Roman" w:cs="Times New Roman"/>
                <w:sz w:val="20"/>
                <w:szCs w:val="20"/>
              </w:rPr>
            </w:pPr>
            <w:r w:rsidRPr="007457F7">
              <w:rPr>
                <w:rFonts w:ascii="Times New Roman" w:hAnsi="Times New Roman" w:cs="Times New Roman"/>
                <w:sz w:val="20"/>
                <w:szCs w:val="20"/>
              </w:rPr>
              <w:t>16 641 363,89</w:t>
            </w:r>
          </w:p>
        </w:tc>
        <w:tc>
          <w:tcPr>
            <w:tcW w:w="1984" w:type="dxa"/>
            <w:tcBorders>
              <w:top w:val="nil"/>
              <w:left w:val="nil"/>
              <w:bottom w:val="single" w:sz="4" w:space="0" w:color="auto"/>
              <w:right w:val="single" w:sz="4" w:space="0" w:color="auto"/>
            </w:tcBorders>
            <w:shd w:val="clear" w:color="000000" w:fill="FFFFFF"/>
            <w:noWrap/>
            <w:vAlign w:val="bottom"/>
          </w:tcPr>
          <w:p w:rsidR="00BF5447" w:rsidRPr="007457F7" w:rsidRDefault="00BF5447" w:rsidP="00B978B7">
            <w:pPr>
              <w:pStyle w:val="a5"/>
              <w:jc w:val="center"/>
              <w:rPr>
                <w:rFonts w:ascii="Times New Roman" w:hAnsi="Times New Roman" w:cs="Times New Roman"/>
                <w:sz w:val="20"/>
                <w:szCs w:val="20"/>
              </w:rPr>
            </w:pPr>
            <w:r w:rsidRPr="007457F7">
              <w:rPr>
                <w:rFonts w:ascii="Times New Roman" w:hAnsi="Times New Roman" w:cs="Times New Roman"/>
                <w:sz w:val="20"/>
                <w:szCs w:val="20"/>
              </w:rPr>
              <w:t>13 671 621,29</w:t>
            </w:r>
          </w:p>
        </w:tc>
        <w:tc>
          <w:tcPr>
            <w:tcW w:w="1560" w:type="dxa"/>
            <w:tcBorders>
              <w:top w:val="nil"/>
              <w:left w:val="nil"/>
              <w:bottom w:val="single" w:sz="4" w:space="0" w:color="auto"/>
              <w:right w:val="single" w:sz="4" w:space="0" w:color="auto"/>
            </w:tcBorders>
            <w:shd w:val="clear" w:color="000000" w:fill="FFFFFF"/>
            <w:noWrap/>
            <w:vAlign w:val="bottom"/>
          </w:tcPr>
          <w:p w:rsidR="00BF5447" w:rsidRPr="007457F7" w:rsidRDefault="00BF5447" w:rsidP="00B978B7">
            <w:pPr>
              <w:pStyle w:val="a5"/>
              <w:jc w:val="center"/>
              <w:rPr>
                <w:rFonts w:ascii="Times New Roman" w:hAnsi="Times New Roman" w:cs="Times New Roman"/>
                <w:sz w:val="20"/>
                <w:szCs w:val="20"/>
              </w:rPr>
            </w:pPr>
            <w:r w:rsidRPr="007457F7">
              <w:rPr>
                <w:rFonts w:ascii="Times New Roman" w:hAnsi="Times New Roman" w:cs="Times New Roman"/>
                <w:sz w:val="20"/>
                <w:szCs w:val="20"/>
              </w:rPr>
              <w:t>2 969 742,60</w:t>
            </w:r>
          </w:p>
        </w:tc>
      </w:tr>
      <w:tr w:rsidR="00BF5447" w:rsidRPr="007457F7" w:rsidTr="00BF5447">
        <w:trPr>
          <w:trHeight w:val="136"/>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BF5447" w:rsidRPr="00753E8B" w:rsidRDefault="00BF5447" w:rsidP="00B978B7">
            <w:pPr>
              <w:spacing w:after="0" w:line="240" w:lineRule="auto"/>
              <w:rPr>
                <w:rFonts w:ascii="Times New Roman" w:eastAsia="Times New Roman" w:hAnsi="Times New Roman" w:cs="Times New Roman"/>
                <w:b/>
                <w:bCs/>
                <w:color w:val="000000"/>
                <w:sz w:val="20"/>
                <w:szCs w:val="20"/>
                <w:lang w:eastAsia="ru-RU"/>
              </w:rPr>
            </w:pPr>
            <w:r w:rsidRPr="00753E8B">
              <w:rPr>
                <w:rFonts w:ascii="Times New Roman" w:eastAsia="Times New Roman" w:hAnsi="Times New Roman" w:cs="Times New Roman"/>
                <w:b/>
                <w:bCs/>
                <w:color w:val="000000"/>
                <w:sz w:val="20"/>
                <w:szCs w:val="20"/>
                <w:lang w:eastAsia="ru-RU"/>
              </w:rPr>
              <w:t>Запрос предложений</w:t>
            </w:r>
          </w:p>
        </w:tc>
        <w:tc>
          <w:tcPr>
            <w:tcW w:w="1984" w:type="dxa"/>
            <w:tcBorders>
              <w:top w:val="nil"/>
              <w:left w:val="single" w:sz="4" w:space="0" w:color="auto"/>
              <w:bottom w:val="single" w:sz="4" w:space="0" w:color="auto"/>
              <w:right w:val="single" w:sz="4" w:space="0" w:color="auto"/>
            </w:tcBorders>
            <w:shd w:val="clear" w:color="000000" w:fill="FFFFFF"/>
            <w:noWrap/>
            <w:vAlign w:val="bottom"/>
            <w:hideMark/>
          </w:tcPr>
          <w:p w:rsidR="00BF5447" w:rsidRPr="007457F7" w:rsidRDefault="00BF5447" w:rsidP="00B978B7">
            <w:pPr>
              <w:pStyle w:val="a5"/>
              <w:jc w:val="center"/>
              <w:rPr>
                <w:rFonts w:ascii="Times New Roman" w:hAnsi="Times New Roman" w:cs="Times New Roman"/>
                <w:sz w:val="20"/>
                <w:szCs w:val="20"/>
              </w:rPr>
            </w:pPr>
            <w:r w:rsidRPr="007457F7">
              <w:rPr>
                <w:rFonts w:ascii="Times New Roman" w:hAnsi="Times New Roman" w:cs="Times New Roman"/>
                <w:sz w:val="20"/>
                <w:szCs w:val="20"/>
              </w:rPr>
              <w:t>8 963 576,71</w:t>
            </w:r>
          </w:p>
        </w:tc>
        <w:tc>
          <w:tcPr>
            <w:tcW w:w="1985" w:type="dxa"/>
            <w:tcBorders>
              <w:top w:val="nil"/>
              <w:left w:val="nil"/>
              <w:bottom w:val="single" w:sz="4" w:space="0" w:color="auto"/>
              <w:right w:val="single" w:sz="4" w:space="0" w:color="auto"/>
            </w:tcBorders>
            <w:shd w:val="clear" w:color="000000" w:fill="FFFFFF"/>
            <w:noWrap/>
            <w:vAlign w:val="bottom"/>
            <w:hideMark/>
          </w:tcPr>
          <w:p w:rsidR="00BF5447" w:rsidRPr="007457F7" w:rsidRDefault="00BF5447" w:rsidP="00B978B7">
            <w:pPr>
              <w:pStyle w:val="a5"/>
              <w:jc w:val="center"/>
              <w:rPr>
                <w:rFonts w:ascii="Times New Roman" w:hAnsi="Times New Roman" w:cs="Times New Roman"/>
                <w:sz w:val="20"/>
                <w:szCs w:val="20"/>
              </w:rPr>
            </w:pPr>
            <w:r w:rsidRPr="007457F7">
              <w:rPr>
                <w:rFonts w:ascii="Times New Roman" w:hAnsi="Times New Roman" w:cs="Times New Roman"/>
                <w:sz w:val="20"/>
                <w:szCs w:val="20"/>
              </w:rPr>
              <w:t>8 004 440,83</w:t>
            </w:r>
          </w:p>
        </w:tc>
        <w:tc>
          <w:tcPr>
            <w:tcW w:w="1984" w:type="dxa"/>
            <w:tcBorders>
              <w:top w:val="nil"/>
              <w:left w:val="nil"/>
              <w:bottom w:val="single" w:sz="4" w:space="0" w:color="auto"/>
              <w:right w:val="single" w:sz="4" w:space="0" w:color="auto"/>
            </w:tcBorders>
            <w:shd w:val="clear" w:color="000000" w:fill="FFFFFF"/>
            <w:noWrap/>
            <w:vAlign w:val="bottom"/>
            <w:hideMark/>
          </w:tcPr>
          <w:p w:rsidR="00BF5447" w:rsidRPr="007457F7" w:rsidRDefault="00BF5447" w:rsidP="00B978B7">
            <w:pPr>
              <w:pStyle w:val="a5"/>
              <w:jc w:val="center"/>
              <w:rPr>
                <w:rFonts w:ascii="Times New Roman" w:hAnsi="Times New Roman" w:cs="Times New Roman"/>
                <w:sz w:val="20"/>
                <w:szCs w:val="20"/>
              </w:rPr>
            </w:pPr>
            <w:r w:rsidRPr="007457F7">
              <w:rPr>
                <w:rFonts w:ascii="Times New Roman" w:hAnsi="Times New Roman" w:cs="Times New Roman"/>
                <w:sz w:val="20"/>
                <w:szCs w:val="20"/>
              </w:rPr>
              <w:t>6 025 371,89</w:t>
            </w:r>
          </w:p>
        </w:tc>
        <w:tc>
          <w:tcPr>
            <w:tcW w:w="1560" w:type="dxa"/>
            <w:tcBorders>
              <w:top w:val="nil"/>
              <w:left w:val="nil"/>
              <w:bottom w:val="single" w:sz="4" w:space="0" w:color="auto"/>
              <w:right w:val="single" w:sz="4" w:space="0" w:color="auto"/>
            </w:tcBorders>
            <w:shd w:val="clear" w:color="000000" w:fill="FFFFFF"/>
            <w:noWrap/>
            <w:vAlign w:val="bottom"/>
            <w:hideMark/>
          </w:tcPr>
          <w:p w:rsidR="00BF5447" w:rsidRPr="007457F7" w:rsidRDefault="00BF5447" w:rsidP="00B978B7">
            <w:pPr>
              <w:pStyle w:val="a5"/>
              <w:jc w:val="center"/>
              <w:rPr>
                <w:rFonts w:ascii="Times New Roman" w:hAnsi="Times New Roman" w:cs="Times New Roman"/>
                <w:color w:val="000000"/>
                <w:sz w:val="20"/>
                <w:szCs w:val="20"/>
              </w:rPr>
            </w:pPr>
            <w:r w:rsidRPr="007457F7">
              <w:rPr>
                <w:rFonts w:ascii="Times New Roman" w:hAnsi="Times New Roman" w:cs="Times New Roman"/>
                <w:color w:val="000000"/>
                <w:sz w:val="20"/>
                <w:szCs w:val="20"/>
              </w:rPr>
              <w:t>1 979 068,94</w:t>
            </w:r>
          </w:p>
        </w:tc>
      </w:tr>
      <w:tr w:rsidR="00BF5447" w:rsidRPr="007457F7" w:rsidTr="00BF5447">
        <w:trPr>
          <w:trHeight w:val="315"/>
        </w:trPr>
        <w:tc>
          <w:tcPr>
            <w:tcW w:w="2411" w:type="dxa"/>
            <w:tcBorders>
              <w:top w:val="nil"/>
              <w:left w:val="single" w:sz="4" w:space="0" w:color="auto"/>
              <w:bottom w:val="single" w:sz="4" w:space="0" w:color="auto"/>
              <w:right w:val="single" w:sz="4" w:space="0" w:color="auto"/>
            </w:tcBorders>
            <w:shd w:val="clear" w:color="000000" w:fill="FFFF00"/>
            <w:noWrap/>
            <w:vAlign w:val="bottom"/>
            <w:hideMark/>
          </w:tcPr>
          <w:p w:rsidR="00BF5447" w:rsidRPr="00753E8B" w:rsidRDefault="00BF5447" w:rsidP="00B978B7">
            <w:pPr>
              <w:spacing w:after="0" w:line="240" w:lineRule="auto"/>
              <w:rPr>
                <w:rFonts w:ascii="Times New Roman" w:eastAsia="Times New Roman" w:hAnsi="Times New Roman" w:cs="Times New Roman"/>
                <w:color w:val="000000"/>
                <w:sz w:val="20"/>
                <w:szCs w:val="20"/>
                <w:lang w:eastAsia="ru-RU"/>
              </w:rPr>
            </w:pPr>
            <w:r w:rsidRPr="00753E8B">
              <w:rPr>
                <w:rFonts w:ascii="Times New Roman" w:eastAsia="Times New Roman" w:hAnsi="Times New Roman" w:cs="Times New Roman"/>
                <w:color w:val="000000"/>
                <w:sz w:val="20"/>
                <w:szCs w:val="20"/>
                <w:lang w:eastAsia="ru-RU"/>
              </w:rPr>
              <w:t> </w:t>
            </w:r>
          </w:p>
        </w:tc>
        <w:tc>
          <w:tcPr>
            <w:tcW w:w="1984" w:type="dxa"/>
            <w:tcBorders>
              <w:top w:val="nil"/>
              <w:left w:val="single" w:sz="4" w:space="0" w:color="auto"/>
              <w:bottom w:val="single" w:sz="4" w:space="0" w:color="auto"/>
              <w:right w:val="single" w:sz="4" w:space="0" w:color="auto"/>
            </w:tcBorders>
            <w:shd w:val="clear" w:color="000000" w:fill="FFFF00"/>
            <w:noWrap/>
            <w:vAlign w:val="bottom"/>
            <w:hideMark/>
          </w:tcPr>
          <w:p w:rsidR="00BF5447" w:rsidRPr="007457F7" w:rsidRDefault="00BF5447" w:rsidP="00B978B7">
            <w:pPr>
              <w:pStyle w:val="a5"/>
              <w:jc w:val="center"/>
              <w:rPr>
                <w:rFonts w:ascii="Times New Roman" w:hAnsi="Times New Roman" w:cs="Times New Roman"/>
                <w:b/>
                <w:bCs/>
                <w:color w:val="000000"/>
                <w:sz w:val="20"/>
                <w:szCs w:val="20"/>
              </w:rPr>
            </w:pPr>
            <w:r w:rsidRPr="007457F7">
              <w:rPr>
                <w:rFonts w:ascii="Times New Roman" w:hAnsi="Times New Roman" w:cs="Times New Roman"/>
                <w:b/>
                <w:bCs/>
                <w:color w:val="000000"/>
                <w:sz w:val="20"/>
                <w:szCs w:val="20"/>
              </w:rPr>
              <w:t>5 111 100 994,51</w:t>
            </w:r>
          </w:p>
        </w:tc>
        <w:tc>
          <w:tcPr>
            <w:tcW w:w="1985" w:type="dxa"/>
            <w:tcBorders>
              <w:top w:val="nil"/>
              <w:left w:val="nil"/>
              <w:bottom w:val="single" w:sz="4" w:space="0" w:color="auto"/>
              <w:right w:val="single" w:sz="4" w:space="0" w:color="auto"/>
            </w:tcBorders>
            <w:shd w:val="clear" w:color="000000" w:fill="FFFF00"/>
            <w:noWrap/>
            <w:vAlign w:val="bottom"/>
            <w:hideMark/>
          </w:tcPr>
          <w:p w:rsidR="00BF5447" w:rsidRPr="007457F7" w:rsidRDefault="00BF5447" w:rsidP="00B978B7">
            <w:pPr>
              <w:pStyle w:val="a5"/>
              <w:jc w:val="center"/>
              <w:rPr>
                <w:rFonts w:ascii="Times New Roman" w:hAnsi="Times New Roman" w:cs="Times New Roman"/>
                <w:b/>
                <w:bCs/>
                <w:color w:val="000000"/>
                <w:sz w:val="20"/>
                <w:szCs w:val="20"/>
              </w:rPr>
            </w:pPr>
            <w:r w:rsidRPr="007457F7">
              <w:rPr>
                <w:rFonts w:ascii="Times New Roman" w:hAnsi="Times New Roman" w:cs="Times New Roman"/>
                <w:b/>
                <w:bCs/>
                <w:color w:val="000000"/>
                <w:sz w:val="20"/>
                <w:szCs w:val="20"/>
              </w:rPr>
              <w:t>3 879 580 421,90</w:t>
            </w:r>
          </w:p>
        </w:tc>
        <w:tc>
          <w:tcPr>
            <w:tcW w:w="1984" w:type="dxa"/>
            <w:tcBorders>
              <w:top w:val="nil"/>
              <w:left w:val="nil"/>
              <w:bottom w:val="single" w:sz="4" w:space="0" w:color="auto"/>
              <w:right w:val="single" w:sz="4" w:space="0" w:color="auto"/>
            </w:tcBorders>
            <w:shd w:val="clear" w:color="000000" w:fill="FFFF00"/>
            <w:noWrap/>
            <w:vAlign w:val="bottom"/>
            <w:hideMark/>
          </w:tcPr>
          <w:p w:rsidR="00BF5447" w:rsidRPr="007457F7" w:rsidRDefault="00BF5447" w:rsidP="00B978B7">
            <w:pPr>
              <w:pStyle w:val="a5"/>
              <w:jc w:val="center"/>
              <w:rPr>
                <w:rFonts w:ascii="Times New Roman" w:hAnsi="Times New Roman" w:cs="Times New Roman"/>
                <w:b/>
                <w:bCs/>
                <w:color w:val="000000"/>
                <w:sz w:val="20"/>
                <w:szCs w:val="20"/>
              </w:rPr>
            </w:pPr>
            <w:r w:rsidRPr="007457F7">
              <w:rPr>
                <w:rFonts w:ascii="Times New Roman" w:hAnsi="Times New Roman" w:cs="Times New Roman"/>
                <w:b/>
                <w:bCs/>
                <w:color w:val="000000"/>
                <w:sz w:val="20"/>
                <w:szCs w:val="20"/>
              </w:rPr>
              <w:t>3 504 503 218,48</w:t>
            </w:r>
          </w:p>
        </w:tc>
        <w:tc>
          <w:tcPr>
            <w:tcW w:w="1560" w:type="dxa"/>
            <w:tcBorders>
              <w:top w:val="nil"/>
              <w:left w:val="nil"/>
              <w:bottom w:val="single" w:sz="4" w:space="0" w:color="auto"/>
              <w:right w:val="single" w:sz="4" w:space="0" w:color="auto"/>
            </w:tcBorders>
            <w:shd w:val="clear" w:color="000000" w:fill="FFFF00"/>
            <w:noWrap/>
            <w:vAlign w:val="bottom"/>
            <w:hideMark/>
          </w:tcPr>
          <w:p w:rsidR="00BF5447" w:rsidRPr="007457F7" w:rsidRDefault="00BF5447" w:rsidP="00B978B7">
            <w:pPr>
              <w:pStyle w:val="a5"/>
              <w:jc w:val="center"/>
              <w:rPr>
                <w:rFonts w:ascii="Times New Roman" w:hAnsi="Times New Roman" w:cs="Times New Roman"/>
                <w:b/>
                <w:bCs/>
                <w:color w:val="000000"/>
                <w:sz w:val="20"/>
                <w:szCs w:val="20"/>
              </w:rPr>
            </w:pPr>
            <w:r w:rsidRPr="007457F7">
              <w:rPr>
                <w:rFonts w:ascii="Times New Roman" w:hAnsi="Times New Roman" w:cs="Times New Roman"/>
                <w:b/>
                <w:bCs/>
                <w:color w:val="000000"/>
                <w:sz w:val="20"/>
                <w:szCs w:val="20"/>
              </w:rPr>
              <w:t>375 077 203,42</w:t>
            </w:r>
          </w:p>
        </w:tc>
      </w:tr>
    </w:tbl>
    <w:p w:rsidR="00BF5447" w:rsidRPr="00BB0F70" w:rsidRDefault="00BF5447" w:rsidP="00BB0F70">
      <w:pPr>
        <w:tabs>
          <w:tab w:val="left" w:pos="993"/>
        </w:tabs>
        <w:jc w:val="center"/>
        <w:rPr>
          <w:rFonts w:ascii="Times New Roman" w:hAnsi="Times New Roman" w:cs="Times New Roman"/>
          <w:sz w:val="28"/>
          <w:szCs w:val="28"/>
        </w:rPr>
      </w:pPr>
    </w:p>
    <w:p w:rsidR="002E50E0" w:rsidRPr="005A5DA2" w:rsidRDefault="002E0C58" w:rsidP="00A85861">
      <w:pPr>
        <w:pStyle w:val="a3"/>
        <w:numPr>
          <w:ilvl w:val="0"/>
          <w:numId w:val="6"/>
        </w:numPr>
        <w:tabs>
          <w:tab w:val="left" w:pos="567"/>
          <w:tab w:val="left" w:pos="993"/>
        </w:tabs>
        <w:spacing w:line="240" w:lineRule="auto"/>
        <w:ind w:left="0" w:firstLine="567"/>
        <w:jc w:val="both"/>
        <w:rPr>
          <w:rFonts w:ascii="Times New Roman" w:hAnsi="Times New Roman" w:cs="Times New Roman"/>
          <w:sz w:val="28"/>
          <w:szCs w:val="24"/>
        </w:rPr>
      </w:pPr>
      <w:r w:rsidRPr="002E50E0">
        <w:rPr>
          <w:rFonts w:ascii="Times New Roman" w:hAnsi="Times New Roman" w:cs="Times New Roman"/>
          <w:i/>
          <w:sz w:val="28"/>
          <w:szCs w:val="24"/>
          <w:u w:val="single"/>
        </w:rPr>
        <w:lastRenderedPageBreak/>
        <w:t>Показатель</w:t>
      </w:r>
      <w:r w:rsidR="00C26329" w:rsidRPr="002E50E0">
        <w:rPr>
          <w:rFonts w:ascii="Times New Roman" w:hAnsi="Times New Roman" w:cs="Times New Roman"/>
          <w:i/>
          <w:sz w:val="28"/>
          <w:szCs w:val="24"/>
          <w:u w:val="single"/>
        </w:rPr>
        <w:t xml:space="preserve"> соблюдения законодательства при осуществлении закупок</w:t>
      </w:r>
      <w:r w:rsidR="00851B25" w:rsidRPr="002E50E0">
        <w:rPr>
          <w:rFonts w:ascii="Times New Roman" w:hAnsi="Times New Roman" w:cs="Times New Roman"/>
          <w:i/>
          <w:sz w:val="28"/>
          <w:szCs w:val="24"/>
          <w:u w:val="single"/>
        </w:rPr>
        <w:t xml:space="preserve"> </w:t>
      </w:r>
    </w:p>
    <w:p w:rsidR="005A5DA2" w:rsidRPr="002E50E0" w:rsidRDefault="005A5DA2" w:rsidP="005A5DA2">
      <w:pPr>
        <w:pStyle w:val="a3"/>
        <w:tabs>
          <w:tab w:val="left" w:pos="567"/>
          <w:tab w:val="left" w:pos="993"/>
        </w:tabs>
        <w:spacing w:line="240" w:lineRule="auto"/>
        <w:ind w:left="567"/>
        <w:jc w:val="both"/>
        <w:rPr>
          <w:rFonts w:ascii="Times New Roman" w:hAnsi="Times New Roman" w:cs="Times New Roman"/>
          <w:sz w:val="28"/>
          <w:szCs w:val="24"/>
        </w:rPr>
      </w:pPr>
    </w:p>
    <w:p w:rsidR="002E0C58" w:rsidRPr="002E50E0" w:rsidRDefault="002E50E0" w:rsidP="002E50E0">
      <w:pPr>
        <w:pStyle w:val="a3"/>
        <w:tabs>
          <w:tab w:val="left" w:pos="567"/>
          <w:tab w:val="left" w:pos="993"/>
        </w:tabs>
        <w:spacing w:after="100" w:afterAutospacing="1" w:line="240" w:lineRule="auto"/>
        <w:ind w:left="0"/>
        <w:jc w:val="both"/>
        <w:rPr>
          <w:rFonts w:ascii="Times New Roman" w:hAnsi="Times New Roman" w:cs="Times New Roman"/>
          <w:sz w:val="28"/>
          <w:szCs w:val="24"/>
        </w:rPr>
      </w:pPr>
      <w:r>
        <w:rPr>
          <w:rFonts w:ascii="Times New Roman" w:hAnsi="Times New Roman" w:cs="Times New Roman"/>
          <w:sz w:val="28"/>
          <w:szCs w:val="24"/>
        </w:rPr>
        <w:tab/>
        <w:t xml:space="preserve">Анализ </w:t>
      </w:r>
      <w:r w:rsidR="002E0C58" w:rsidRPr="002E50E0">
        <w:rPr>
          <w:rFonts w:ascii="Times New Roman" w:hAnsi="Times New Roman" w:cs="Times New Roman"/>
          <w:sz w:val="28"/>
          <w:szCs w:val="24"/>
        </w:rPr>
        <w:t>соблюдения законодательства при осуществлении закупок</w:t>
      </w:r>
      <w:r>
        <w:rPr>
          <w:rFonts w:ascii="Times New Roman" w:hAnsi="Times New Roman" w:cs="Times New Roman"/>
          <w:sz w:val="28"/>
          <w:szCs w:val="24"/>
        </w:rPr>
        <w:t xml:space="preserve"> по результатам 2016 года</w:t>
      </w:r>
      <w:r w:rsidR="002E0C58" w:rsidRPr="002E50E0">
        <w:rPr>
          <w:rFonts w:ascii="Times New Roman" w:hAnsi="Times New Roman" w:cs="Times New Roman"/>
          <w:sz w:val="28"/>
          <w:szCs w:val="24"/>
        </w:rPr>
        <w:t xml:space="preserve"> </w:t>
      </w:r>
      <w:r>
        <w:rPr>
          <w:rFonts w:ascii="Times New Roman" w:hAnsi="Times New Roman" w:cs="Times New Roman"/>
          <w:sz w:val="28"/>
          <w:szCs w:val="24"/>
        </w:rPr>
        <w:t xml:space="preserve">показывает, что данный показатель находится на </w:t>
      </w:r>
      <w:r w:rsidR="002E0C58" w:rsidRPr="002E50E0">
        <w:rPr>
          <w:rFonts w:ascii="Times New Roman" w:hAnsi="Times New Roman" w:cs="Times New Roman"/>
          <w:sz w:val="28"/>
          <w:szCs w:val="24"/>
        </w:rPr>
        <w:t>нормативно эффективн</w:t>
      </w:r>
      <w:r>
        <w:rPr>
          <w:rFonts w:ascii="Times New Roman" w:hAnsi="Times New Roman" w:cs="Times New Roman"/>
          <w:sz w:val="28"/>
          <w:szCs w:val="24"/>
        </w:rPr>
        <w:t>ом</w:t>
      </w:r>
      <w:r w:rsidRPr="002E50E0">
        <w:rPr>
          <w:rFonts w:ascii="Times New Roman" w:hAnsi="Times New Roman" w:cs="Times New Roman"/>
          <w:sz w:val="28"/>
          <w:szCs w:val="24"/>
        </w:rPr>
        <w:t xml:space="preserve"> </w:t>
      </w:r>
      <w:r>
        <w:rPr>
          <w:rFonts w:ascii="Times New Roman" w:hAnsi="Times New Roman" w:cs="Times New Roman"/>
          <w:sz w:val="28"/>
          <w:szCs w:val="24"/>
        </w:rPr>
        <w:t>уровне</w:t>
      </w:r>
      <w:r w:rsidR="002E0C58" w:rsidRPr="002E50E0">
        <w:rPr>
          <w:rFonts w:ascii="Times New Roman" w:hAnsi="Times New Roman" w:cs="Times New Roman"/>
          <w:sz w:val="28"/>
          <w:szCs w:val="24"/>
        </w:rPr>
        <w:t>.</w:t>
      </w:r>
    </w:p>
    <w:p w:rsidR="00102675" w:rsidRPr="00102675" w:rsidRDefault="00102675" w:rsidP="00102675">
      <w:pPr>
        <w:pStyle w:val="a5"/>
        <w:ind w:firstLine="708"/>
        <w:jc w:val="both"/>
        <w:rPr>
          <w:rFonts w:ascii="Times New Roman" w:hAnsi="Times New Roman" w:cs="Times New Roman"/>
          <w:sz w:val="28"/>
          <w:szCs w:val="28"/>
        </w:rPr>
      </w:pPr>
      <w:r w:rsidRPr="00102675">
        <w:rPr>
          <w:rFonts w:ascii="Times New Roman" w:hAnsi="Times New Roman" w:cs="Times New Roman"/>
          <w:sz w:val="28"/>
          <w:szCs w:val="28"/>
        </w:rPr>
        <w:t>С 01 января 2016 г. по 31 декабря 2016 г. был</w:t>
      </w:r>
      <w:r w:rsidR="002757DE">
        <w:rPr>
          <w:rFonts w:ascii="Times New Roman" w:hAnsi="Times New Roman" w:cs="Times New Roman"/>
          <w:sz w:val="28"/>
          <w:szCs w:val="28"/>
        </w:rPr>
        <w:t>и</w:t>
      </w:r>
      <w:r w:rsidRPr="00102675">
        <w:rPr>
          <w:rFonts w:ascii="Times New Roman" w:hAnsi="Times New Roman" w:cs="Times New Roman"/>
          <w:sz w:val="28"/>
          <w:szCs w:val="28"/>
        </w:rPr>
        <w:t xml:space="preserve"> подан</w:t>
      </w:r>
      <w:r w:rsidR="002757DE">
        <w:rPr>
          <w:rFonts w:ascii="Times New Roman" w:hAnsi="Times New Roman" w:cs="Times New Roman"/>
          <w:sz w:val="28"/>
          <w:szCs w:val="28"/>
        </w:rPr>
        <w:t>ы</w:t>
      </w:r>
      <w:r w:rsidRPr="00102675">
        <w:rPr>
          <w:rFonts w:ascii="Times New Roman" w:hAnsi="Times New Roman" w:cs="Times New Roman"/>
          <w:sz w:val="28"/>
          <w:szCs w:val="28"/>
        </w:rPr>
        <w:t xml:space="preserve"> 51 жалоб</w:t>
      </w:r>
      <w:r w:rsidR="002757DE">
        <w:rPr>
          <w:rFonts w:ascii="Times New Roman" w:hAnsi="Times New Roman" w:cs="Times New Roman"/>
          <w:sz w:val="28"/>
          <w:szCs w:val="28"/>
        </w:rPr>
        <w:t>а</w:t>
      </w:r>
      <w:r w:rsidRPr="00102675">
        <w:rPr>
          <w:rFonts w:ascii="Times New Roman" w:hAnsi="Times New Roman" w:cs="Times New Roman"/>
          <w:sz w:val="28"/>
          <w:szCs w:val="28"/>
        </w:rPr>
        <w:t xml:space="preserve"> в Управление Федеральной антимонопольной службы по Республике Саха (Якутия) на действия/бездействия комиссии/заказчиков по определению поставщиков (подрядчиков, исполнителей), из них:</w:t>
      </w:r>
    </w:p>
    <w:p w:rsidR="00102675" w:rsidRPr="00102675" w:rsidRDefault="00102675" w:rsidP="00102675">
      <w:pPr>
        <w:pStyle w:val="a5"/>
        <w:jc w:val="both"/>
        <w:rPr>
          <w:rFonts w:ascii="Times New Roman" w:hAnsi="Times New Roman" w:cs="Times New Roman"/>
          <w:sz w:val="28"/>
          <w:szCs w:val="28"/>
        </w:rPr>
      </w:pPr>
      <w:r w:rsidRPr="00102675">
        <w:rPr>
          <w:rFonts w:ascii="Times New Roman" w:hAnsi="Times New Roman" w:cs="Times New Roman"/>
          <w:sz w:val="28"/>
          <w:szCs w:val="28"/>
        </w:rPr>
        <w:t>- 12 возвращены заявителям;</w:t>
      </w:r>
      <w:r w:rsidRPr="00102675">
        <w:rPr>
          <w:rFonts w:ascii="Times New Roman" w:hAnsi="Times New Roman" w:cs="Times New Roman"/>
          <w:sz w:val="28"/>
          <w:szCs w:val="28"/>
        </w:rPr>
        <w:tab/>
      </w:r>
    </w:p>
    <w:p w:rsidR="00102675" w:rsidRPr="00102675" w:rsidRDefault="00102675" w:rsidP="00102675">
      <w:pPr>
        <w:pStyle w:val="a5"/>
        <w:jc w:val="both"/>
        <w:rPr>
          <w:rFonts w:ascii="Times New Roman" w:hAnsi="Times New Roman" w:cs="Times New Roman"/>
          <w:sz w:val="28"/>
          <w:szCs w:val="28"/>
        </w:rPr>
      </w:pPr>
      <w:r w:rsidRPr="00102675">
        <w:rPr>
          <w:rFonts w:ascii="Times New Roman" w:hAnsi="Times New Roman" w:cs="Times New Roman"/>
          <w:sz w:val="28"/>
          <w:szCs w:val="28"/>
        </w:rPr>
        <w:t>- 3 отозваны заявителями;</w:t>
      </w:r>
    </w:p>
    <w:p w:rsidR="00102675" w:rsidRPr="00102675" w:rsidRDefault="00102675" w:rsidP="00102675">
      <w:pPr>
        <w:pStyle w:val="a5"/>
        <w:jc w:val="both"/>
        <w:rPr>
          <w:rFonts w:ascii="Times New Roman" w:hAnsi="Times New Roman" w:cs="Times New Roman"/>
          <w:sz w:val="28"/>
          <w:szCs w:val="28"/>
        </w:rPr>
      </w:pPr>
      <w:r w:rsidRPr="00102675">
        <w:rPr>
          <w:rFonts w:ascii="Times New Roman" w:hAnsi="Times New Roman" w:cs="Times New Roman"/>
          <w:sz w:val="28"/>
          <w:szCs w:val="28"/>
        </w:rPr>
        <w:t>- 24 признаны необоснованными;</w:t>
      </w:r>
    </w:p>
    <w:p w:rsidR="00102675" w:rsidRPr="00102675" w:rsidRDefault="00102675" w:rsidP="00102675">
      <w:pPr>
        <w:pStyle w:val="a5"/>
        <w:jc w:val="both"/>
        <w:rPr>
          <w:rFonts w:ascii="Times New Roman" w:hAnsi="Times New Roman" w:cs="Times New Roman"/>
          <w:sz w:val="28"/>
          <w:szCs w:val="28"/>
        </w:rPr>
      </w:pPr>
      <w:r w:rsidRPr="00102675">
        <w:rPr>
          <w:rFonts w:ascii="Times New Roman" w:hAnsi="Times New Roman" w:cs="Times New Roman"/>
          <w:sz w:val="28"/>
          <w:szCs w:val="28"/>
        </w:rPr>
        <w:t>- 5 признаны обоснованными (частично);</w:t>
      </w:r>
    </w:p>
    <w:p w:rsidR="00507D74" w:rsidRPr="00102675" w:rsidRDefault="00102675" w:rsidP="00102675">
      <w:pPr>
        <w:tabs>
          <w:tab w:val="left" w:pos="567"/>
          <w:tab w:val="left" w:pos="1134"/>
        </w:tabs>
        <w:spacing w:line="240" w:lineRule="auto"/>
        <w:jc w:val="both"/>
        <w:rPr>
          <w:rFonts w:ascii="Times New Roman" w:hAnsi="Times New Roman" w:cs="Times New Roman"/>
          <w:sz w:val="28"/>
          <w:szCs w:val="28"/>
        </w:rPr>
      </w:pPr>
      <w:r w:rsidRPr="00102675">
        <w:rPr>
          <w:rFonts w:ascii="Times New Roman" w:hAnsi="Times New Roman" w:cs="Times New Roman"/>
          <w:sz w:val="28"/>
          <w:szCs w:val="28"/>
        </w:rPr>
        <w:t>- 7 признаны обоснованными.</w:t>
      </w:r>
    </w:p>
    <w:p w:rsidR="00DB1894" w:rsidRPr="00507D74" w:rsidRDefault="00DB1894" w:rsidP="00507D74">
      <w:pPr>
        <w:tabs>
          <w:tab w:val="left" w:pos="567"/>
          <w:tab w:val="left" w:pos="1134"/>
        </w:tabs>
        <w:spacing w:line="240" w:lineRule="auto"/>
        <w:ind w:firstLine="567"/>
        <w:jc w:val="both"/>
        <w:rPr>
          <w:rFonts w:ascii="Times New Roman" w:hAnsi="Times New Roman" w:cs="Times New Roman"/>
          <w:sz w:val="28"/>
          <w:szCs w:val="24"/>
          <w:highlight w:val="yellow"/>
        </w:rPr>
      </w:pPr>
      <w:r w:rsidRPr="009772A3">
        <w:rPr>
          <w:rFonts w:ascii="Times New Roman" w:hAnsi="Times New Roman"/>
          <w:color w:val="000000" w:themeColor="text1"/>
          <w:sz w:val="28"/>
          <w:szCs w:val="28"/>
        </w:rPr>
        <w:t>В целях сокращения нарушений законодательства в сфере закупок принимают</w:t>
      </w:r>
      <w:r>
        <w:rPr>
          <w:rFonts w:ascii="Times New Roman" w:hAnsi="Times New Roman"/>
          <w:color w:val="000000" w:themeColor="text1"/>
          <w:sz w:val="28"/>
          <w:szCs w:val="28"/>
        </w:rPr>
        <w:t>ся</w:t>
      </w:r>
      <w:r w:rsidRPr="009772A3">
        <w:rPr>
          <w:rFonts w:ascii="Times New Roman" w:hAnsi="Times New Roman"/>
          <w:color w:val="000000" w:themeColor="text1"/>
          <w:sz w:val="28"/>
          <w:szCs w:val="28"/>
        </w:rPr>
        <w:t xml:space="preserve"> меры по поддержанию и повышению уровня квалификации и профессионального образования должностных лиц, в том числе путем повышения квалификации или профессиональной переподготовки в сфере закупок в соответствии с законодательством Российской Федерации.</w:t>
      </w:r>
    </w:p>
    <w:p w:rsidR="007A6259" w:rsidRDefault="007A6259" w:rsidP="00507D74">
      <w:pPr>
        <w:tabs>
          <w:tab w:val="left" w:pos="567"/>
          <w:tab w:val="left" w:pos="1134"/>
        </w:tabs>
        <w:spacing w:line="240" w:lineRule="auto"/>
        <w:ind w:firstLine="567"/>
        <w:jc w:val="both"/>
        <w:rPr>
          <w:rFonts w:ascii="Times New Roman" w:hAnsi="Times New Roman" w:cs="Times New Roman"/>
          <w:color w:val="000000" w:themeColor="text1"/>
          <w:sz w:val="28"/>
          <w:szCs w:val="28"/>
        </w:rPr>
      </w:pPr>
      <w:r w:rsidRPr="007A6259">
        <w:rPr>
          <w:rFonts w:ascii="Times New Roman" w:hAnsi="Times New Roman" w:cs="Times New Roman"/>
          <w:color w:val="000000" w:themeColor="text1"/>
          <w:sz w:val="28"/>
          <w:szCs w:val="28"/>
        </w:rPr>
        <w:t>Управлением муниципальных закупок были проведены 1</w:t>
      </w:r>
      <w:r w:rsidR="00E900B1">
        <w:rPr>
          <w:rFonts w:ascii="Times New Roman" w:hAnsi="Times New Roman" w:cs="Times New Roman"/>
          <w:color w:val="000000" w:themeColor="text1"/>
          <w:sz w:val="28"/>
          <w:szCs w:val="28"/>
        </w:rPr>
        <w:t>4</w:t>
      </w:r>
      <w:r w:rsidRPr="007A6259">
        <w:rPr>
          <w:rFonts w:ascii="Times New Roman" w:hAnsi="Times New Roman" w:cs="Times New Roman"/>
          <w:color w:val="000000" w:themeColor="text1"/>
          <w:sz w:val="28"/>
          <w:szCs w:val="28"/>
        </w:rPr>
        <w:t xml:space="preserve"> семинаров, из них: </w:t>
      </w:r>
      <w:r w:rsidR="00E900B1">
        <w:rPr>
          <w:rFonts w:ascii="Times New Roman" w:hAnsi="Times New Roman" w:cs="Times New Roman"/>
          <w:color w:val="000000" w:themeColor="text1"/>
          <w:sz w:val="28"/>
          <w:szCs w:val="28"/>
        </w:rPr>
        <w:t>7</w:t>
      </w:r>
      <w:r w:rsidRPr="007A6259">
        <w:rPr>
          <w:rFonts w:ascii="Times New Roman" w:hAnsi="Times New Roman" w:cs="Times New Roman"/>
          <w:color w:val="000000" w:themeColor="text1"/>
          <w:sz w:val="28"/>
          <w:szCs w:val="28"/>
        </w:rPr>
        <w:t xml:space="preserve"> семинаров для муниципальных заказчиков городского округа «город Якутск» по применению положений закона по контрактной системе совместно с предста</w:t>
      </w:r>
      <w:r w:rsidRPr="007A6259">
        <w:rPr>
          <w:rFonts w:ascii="Times New Roman" w:hAnsi="Times New Roman" w:cs="Times New Roman"/>
          <w:color w:val="000000" w:themeColor="text1"/>
          <w:sz w:val="28"/>
          <w:szCs w:val="28"/>
        </w:rPr>
        <w:lastRenderedPageBreak/>
        <w:t xml:space="preserve">вителями электронных площадок, </w:t>
      </w:r>
      <w:r w:rsidR="00E900B1">
        <w:rPr>
          <w:rFonts w:ascii="Times New Roman" w:hAnsi="Times New Roman" w:cs="Times New Roman"/>
          <w:color w:val="000000" w:themeColor="text1"/>
          <w:sz w:val="28"/>
          <w:szCs w:val="28"/>
        </w:rPr>
        <w:t>4</w:t>
      </w:r>
      <w:r w:rsidRPr="007A6259">
        <w:rPr>
          <w:rFonts w:ascii="Times New Roman" w:hAnsi="Times New Roman" w:cs="Times New Roman"/>
          <w:color w:val="000000" w:themeColor="text1"/>
          <w:sz w:val="28"/>
          <w:szCs w:val="28"/>
        </w:rPr>
        <w:t xml:space="preserve"> семинара для представителей муниципальных унитарных предприятий, открытых акционерных обществ, бюджетных и автономных учреждений по работе в системе «АЦК-Мунзаказ» (БФТ) по Федеральному закону от 18.07.2011 г. №223-ФЗ, переходу МУП на 44-ФЗ, 3 семинара для предпринимателей и всех заинтересованных лиц по контрактной системе в сфере муниципальных закупок в целях повышения конкуренции между участниками закупок.</w:t>
      </w:r>
    </w:p>
    <w:p w:rsidR="00C4381D" w:rsidRPr="000475E4" w:rsidRDefault="00C26329" w:rsidP="00C23D0E">
      <w:pPr>
        <w:pStyle w:val="a3"/>
        <w:numPr>
          <w:ilvl w:val="0"/>
          <w:numId w:val="6"/>
        </w:numPr>
        <w:tabs>
          <w:tab w:val="left" w:pos="567"/>
          <w:tab w:val="left" w:pos="993"/>
        </w:tabs>
        <w:spacing w:line="240" w:lineRule="auto"/>
        <w:ind w:left="0" w:firstLine="567"/>
        <w:contextualSpacing w:val="0"/>
        <w:jc w:val="both"/>
        <w:rPr>
          <w:rFonts w:ascii="Times New Roman" w:hAnsi="Times New Roman" w:cs="Times New Roman"/>
          <w:i/>
          <w:sz w:val="28"/>
          <w:szCs w:val="24"/>
          <w:u w:val="single"/>
        </w:rPr>
      </w:pPr>
      <w:r w:rsidRPr="000475E4">
        <w:rPr>
          <w:rFonts w:ascii="Times New Roman" w:hAnsi="Times New Roman" w:cs="Times New Roman"/>
          <w:i/>
          <w:sz w:val="28"/>
          <w:szCs w:val="24"/>
          <w:u w:val="single"/>
        </w:rPr>
        <w:t>Показатели эффе</w:t>
      </w:r>
      <w:r w:rsidR="00C23D0E" w:rsidRPr="000475E4">
        <w:rPr>
          <w:rFonts w:ascii="Times New Roman" w:hAnsi="Times New Roman" w:cs="Times New Roman"/>
          <w:i/>
          <w:sz w:val="28"/>
          <w:szCs w:val="24"/>
          <w:u w:val="single"/>
        </w:rPr>
        <w:t>ктивности исполнения контракт</w:t>
      </w:r>
      <w:r w:rsidR="00095A2E">
        <w:rPr>
          <w:rFonts w:ascii="Times New Roman" w:hAnsi="Times New Roman" w:cs="Times New Roman"/>
          <w:i/>
          <w:sz w:val="28"/>
          <w:szCs w:val="24"/>
          <w:u w:val="single"/>
        </w:rPr>
        <w:t>ов</w:t>
      </w:r>
    </w:p>
    <w:p w:rsidR="001307F8" w:rsidRPr="000475E4" w:rsidRDefault="00C23D0E" w:rsidP="00C23D0E">
      <w:pPr>
        <w:tabs>
          <w:tab w:val="left" w:pos="567"/>
          <w:tab w:val="left" w:pos="993"/>
        </w:tabs>
        <w:spacing w:line="240" w:lineRule="auto"/>
        <w:ind w:firstLine="567"/>
        <w:jc w:val="both"/>
        <w:rPr>
          <w:rFonts w:ascii="Times New Roman" w:hAnsi="Times New Roman" w:cs="Times New Roman"/>
          <w:sz w:val="28"/>
          <w:szCs w:val="24"/>
        </w:rPr>
      </w:pPr>
      <w:r w:rsidRPr="000475E4">
        <w:rPr>
          <w:rFonts w:ascii="Times New Roman" w:hAnsi="Times New Roman" w:cs="Times New Roman"/>
          <w:sz w:val="28"/>
          <w:szCs w:val="24"/>
        </w:rPr>
        <w:t>Показателями эффективности исполнения контракта являются - о</w:t>
      </w:r>
      <w:r w:rsidR="001307F8" w:rsidRPr="000475E4">
        <w:rPr>
          <w:rFonts w:ascii="Times New Roman" w:hAnsi="Times New Roman" w:cs="Times New Roman"/>
          <w:sz w:val="28"/>
          <w:szCs w:val="28"/>
        </w:rPr>
        <w:t>ценка эффективности заключенных контрактов</w:t>
      </w:r>
      <w:r w:rsidRPr="000475E4">
        <w:rPr>
          <w:rFonts w:ascii="Times New Roman" w:hAnsi="Times New Roman" w:cs="Times New Roman"/>
          <w:sz w:val="28"/>
          <w:szCs w:val="28"/>
        </w:rPr>
        <w:t>,</w:t>
      </w:r>
      <w:r w:rsidR="001307F8" w:rsidRPr="000475E4">
        <w:rPr>
          <w:rFonts w:ascii="Times New Roman" w:hAnsi="Times New Roman" w:cs="Times New Roman"/>
          <w:sz w:val="28"/>
          <w:szCs w:val="28"/>
        </w:rPr>
        <w:t xml:space="preserve"> </w:t>
      </w:r>
      <w:r w:rsidRPr="000475E4">
        <w:rPr>
          <w:rFonts w:ascii="Times New Roman" w:hAnsi="Times New Roman" w:cs="Times New Roman"/>
          <w:sz w:val="28"/>
          <w:szCs w:val="28"/>
        </w:rPr>
        <w:t>к</w:t>
      </w:r>
      <w:r w:rsidR="001307F8" w:rsidRPr="000475E4">
        <w:rPr>
          <w:rFonts w:ascii="Times New Roman" w:hAnsi="Times New Roman" w:cs="Times New Roman"/>
          <w:sz w:val="28"/>
          <w:szCs w:val="28"/>
        </w:rPr>
        <w:t>ачество исполнения контрактов</w:t>
      </w:r>
      <w:r w:rsidRPr="000475E4">
        <w:rPr>
          <w:rFonts w:ascii="Times New Roman" w:hAnsi="Times New Roman" w:cs="Times New Roman"/>
          <w:sz w:val="28"/>
          <w:szCs w:val="28"/>
        </w:rPr>
        <w:t>, у</w:t>
      </w:r>
      <w:r w:rsidR="001307F8" w:rsidRPr="000475E4">
        <w:rPr>
          <w:rFonts w:ascii="Times New Roman" w:hAnsi="Times New Roman" w:cs="Times New Roman"/>
          <w:sz w:val="28"/>
          <w:szCs w:val="24"/>
        </w:rPr>
        <w:t>дельный вес расторгнутых контрактов</w:t>
      </w:r>
      <w:r w:rsidRPr="000475E4">
        <w:rPr>
          <w:rFonts w:ascii="Times New Roman" w:hAnsi="Times New Roman" w:cs="Times New Roman"/>
          <w:sz w:val="28"/>
          <w:szCs w:val="24"/>
        </w:rPr>
        <w:t xml:space="preserve">. По итогам </w:t>
      </w:r>
      <w:r w:rsidR="00F852C2" w:rsidRPr="000475E4">
        <w:rPr>
          <w:rFonts w:ascii="Times New Roman" w:hAnsi="Times New Roman" w:cs="Times New Roman"/>
          <w:sz w:val="28"/>
          <w:szCs w:val="24"/>
        </w:rPr>
        <w:t>анализа</w:t>
      </w:r>
      <w:r w:rsidRPr="000475E4">
        <w:rPr>
          <w:rFonts w:ascii="Times New Roman" w:hAnsi="Times New Roman" w:cs="Times New Roman"/>
          <w:sz w:val="28"/>
          <w:szCs w:val="24"/>
        </w:rPr>
        <w:t xml:space="preserve"> данных подкритериев показателя дана оценка – эффективная. </w:t>
      </w:r>
    </w:p>
    <w:p w:rsidR="001307F8" w:rsidRPr="000475E4" w:rsidRDefault="00F00A36" w:rsidP="00C23D0E">
      <w:pPr>
        <w:pStyle w:val="a3"/>
        <w:tabs>
          <w:tab w:val="left" w:pos="567"/>
          <w:tab w:val="left" w:pos="1134"/>
        </w:tabs>
        <w:spacing w:line="240" w:lineRule="auto"/>
        <w:ind w:left="0" w:firstLine="567"/>
        <w:contextualSpacing w:val="0"/>
        <w:jc w:val="both"/>
        <w:rPr>
          <w:rFonts w:ascii="Times New Roman" w:hAnsi="Times New Roman" w:cs="Times New Roman"/>
          <w:sz w:val="28"/>
          <w:szCs w:val="28"/>
        </w:rPr>
      </w:pPr>
      <w:r w:rsidRPr="000475E4">
        <w:rPr>
          <w:rFonts w:ascii="Times New Roman" w:hAnsi="Times New Roman" w:cs="Times New Roman"/>
          <w:sz w:val="28"/>
          <w:szCs w:val="28"/>
        </w:rPr>
        <w:t>На основании данных автоматизированной информационной системы управления закупками «АЦК-Муниципальный заказ»</w:t>
      </w:r>
      <w:r w:rsidR="001307F8" w:rsidRPr="000475E4">
        <w:rPr>
          <w:rFonts w:ascii="Times New Roman" w:hAnsi="Times New Roman" w:cs="Times New Roman"/>
          <w:sz w:val="28"/>
          <w:szCs w:val="28"/>
        </w:rPr>
        <w:t xml:space="preserve"> </w:t>
      </w:r>
      <w:r w:rsidRPr="000475E4">
        <w:rPr>
          <w:rFonts w:ascii="Times New Roman" w:hAnsi="Times New Roman" w:cs="Times New Roman"/>
          <w:sz w:val="28"/>
          <w:szCs w:val="28"/>
        </w:rPr>
        <w:t>удельный вес расторгнутых контрактов, в общем числе заключенных контрактов</w:t>
      </w:r>
      <w:r w:rsidR="00F852C2" w:rsidRPr="000475E4">
        <w:rPr>
          <w:rFonts w:ascii="Times New Roman" w:hAnsi="Times New Roman" w:cs="Times New Roman"/>
          <w:sz w:val="28"/>
          <w:szCs w:val="28"/>
        </w:rPr>
        <w:t>,</w:t>
      </w:r>
      <w:r w:rsidRPr="000475E4">
        <w:rPr>
          <w:rFonts w:ascii="Times New Roman" w:hAnsi="Times New Roman" w:cs="Times New Roman"/>
          <w:sz w:val="28"/>
          <w:szCs w:val="28"/>
        </w:rPr>
        <w:t xml:space="preserve"> составляет 0,0</w:t>
      </w:r>
      <w:r w:rsidR="00A448A6">
        <w:rPr>
          <w:rFonts w:ascii="Times New Roman" w:hAnsi="Times New Roman" w:cs="Times New Roman"/>
          <w:sz w:val="28"/>
          <w:szCs w:val="28"/>
        </w:rPr>
        <w:t>8</w:t>
      </w:r>
      <w:r w:rsidR="00095A2E" w:rsidRPr="00C137B8">
        <w:rPr>
          <w:rFonts w:ascii="Times New Roman" w:hAnsi="Times New Roman" w:cs="Times New Roman"/>
          <w:sz w:val="28"/>
          <w:szCs w:val="28"/>
        </w:rPr>
        <w:t>%</w:t>
      </w:r>
      <w:r w:rsidRPr="000475E4">
        <w:rPr>
          <w:rFonts w:ascii="Times New Roman" w:hAnsi="Times New Roman" w:cs="Times New Roman"/>
          <w:sz w:val="28"/>
          <w:szCs w:val="28"/>
        </w:rPr>
        <w:t xml:space="preserve">. </w:t>
      </w:r>
      <w:r w:rsidR="001307F8" w:rsidRPr="000475E4">
        <w:rPr>
          <w:rFonts w:ascii="Times New Roman" w:hAnsi="Times New Roman" w:cs="Times New Roman"/>
          <w:sz w:val="28"/>
          <w:szCs w:val="28"/>
        </w:rPr>
        <w:t xml:space="preserve">Оценка </w:t>
      </w:r>
      <w:r w:rsidRPr="000475E4">
        <w:rPr>
          <w:rFonts w:ascii="Times New Roman" w:hAnsi="Times New Roman" w:cs="Times New Roman"/>
          <w:sz w:val="28"/>
          <w:szCs w:val="28"/>
        </w:rPr>
        <w:t xml:space="preserve">по данному показателю является </w:t>
      </w:r>
      <w:r w:rsidR="001307F8" w:rsidRPr="000475E4">
        <w:rPr>
          <w:rFonts w:ascii="Times New Roman" w:hAnsi="Times New Roman" w:cs="Times New Roman"/>
          <w:sz w:val="28"/>
          <w:szCs w:val="28"/>
        </w:rPr>
        <w:t>эффективн</w:t>
      </w:r>
      <w:r w:rsidRPr="000475E4">
        <w:rPr>
          <w:rFonts w:ascii="Times New Roman" w:hAnsi="Times New Roman" w:cs="Times New Roman"/>
          <w:sz w:val="28"/>
          <w:szCs w:val="28"/>
        </w:rPr>
        <w:t>ой</w:t>
      </w:r>
      <w:r w:rsidR="001307F8" w:rsidRPr="000475E4">
        <w:rPr>
          <w:rFonts w:ascii="Times New Roman" w:hAnsi="Times New Roman" w:cs="Times New Roman"/>
          <w:sz w:val="28"/>
          <w:szCs w:val="28"/>
        </w:rPr>
        <w:t>.</w:t>
      </w:r>
    </w:p>
    <w:p w:rsidR="005A5DA2" w:rsidRDefault="005A5DA2" w:rsidP="00C23D0E">
      <w:pPr>
        <w:pStyle w:val="a3"/>
        <w:tabs>
          <w:tab w:val="left" w:pos="567"/>
          <w:tab w:val="left" w:pos="1134"/>
        </w:tabs>
        <w:spacing w:line="240" w:lineRule="auto"/>
        <w:ind w:left="0" w:firstLine="567"/>
        <w:contextualSpacing w:val="0"/>
        <w:jc w:val="both"/>
        <w:rPr>
          <w:rFonts w:ascii="Times New Roman" w:hAnsi="Times New Roman" w:cs="Times New Roman"/>
          <w:sz w:val="28"/>
          <w:szCs w:val="28"/>
        </w:rPr>
      </w:pPr>
      <w:r>
        <w:rPr>
          <w:noProof/>
          <w:lang w:eastAsia="ru-RU"/>
        </w:rPr>
        <w:drawing>
          <wp:inline distT="0" distB="0" distL="0" distR="0" wp14:anchorId="47AFB7F0" wp14:editId="48D88395">
            <wp:extent cx="4433260" cy="1722474"/>
            <wp:effectExtent l="0" t="0" r="5715" b="1143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307F8" w:rsidRPr="00C66A78" w:rsidRDefault="001307F8" w:rsidP="005A5DA2">
      <w:pPr>
        <w:pStyle w:val="a3"/>
        <w:tabs>
          <w:tab w:val="left" w:pos="567"/>
          <w:tab w:val="left" w:pos="1134"/>
        </w:tabs>
        <w:spacing w:line="240" w:lineRule="auto"/>
        <w:ind w:left="0" w:firstLine="567"/>
        <w:contextualSpacing w:val="0"/>
        <w:jc w:val="both"/>
        <w:rPr>
          <w:rFonts w:ascii="Times New Roman" w:hAnsi="Times New Roman" w:cs="Times New Roman"/>
          <w:i/>
          <w:sz w:val="28"/>
          <w:szCs w:val="24"/>
          <w:u w:val="single"/>
        </w:rPr>
      </w:pPr>
      <w:r w:rsidRPr="00C66A78">
        <w:rPr>
          <w:rFonts w:ascii="Times New Roman" w:hAnsi="Times New Roman" w:cs="Times New Roman"/>
          <w:i/>
          <w:sz w:val="28"/>
          <w:szCs w:val="24"/>
          <w:u w:val="single"/>
        </w:rPr>
        <w:lastRenderedPageBreak/>
        <w:t>Показател</w:t>
      </w:r>
      <w:r w:rsidR="00C23D0E" w:rsidRPr="00C66A78">
        <w:rPr>
          <w:rFonts w:ascii="Times New Roman" w:hAnsi="Times New Roman" w:cs="Times New Roman"/>
          <w:i/>
          <w:sz w:val="28"/>
          <w:szCs w:val="24"/>
          <w:u w:val="single"/>
        </w:rPr>
        <w:t>ь</w:t>
      </w:r>
      <w:r w:rsidRPr="00C66A78">
        <w:rPr>
          <w:rFonts w:ascii="Times New Roman" w:hAnsi="Times New Roman" w:cs="Times New Roman"/>
          <w:i/>
          <w:sz w:val="28"/>
          <w:szCs w:val="24"/>
          <w:u w:val="single"/>
        </w:rPr>
        <w:t xml:space="preserve"> комплексной оценки эффективности</w:t>
      </w:r>
      <w:r w:rsidR="00BB0F70" w:rsidRPr="00C66A78">
        <w:rPr>
          <w:rFonts w:ascii="Times New Roman" w:hAnsi="Times New Roman" w:cs="Times New Roman"/>
          <w:i/>
          <w:sz w:val="28"/>
          <w:szCs w:val="24"/>
          <w:u w:val="single"/>
        </w:rPr>
        <w:t xml:space="preserve"> деятельности заказчиков</w:t>
      </w:r>
      <w:r w:rsidRPr="00C66A78">
        <w:rPr>
          <w:rFonts w:ascii="Times New Roman" w:hAnsi="Times New Roman" w:cs="Times New Roman"/>
          <w:i/>
          <w:sz w:val="28"/>
          <w:szCs w:val="24"/>
          <w:u w:val="single"/>
        </w:rPr>
        <w:t xml:space="preserve"> </w:t>
      </w:r>
      <w:r w:rsidR="00C66A78" w:rsidRPr="00C66A78">
        <w:rPr>
          <w:rFonts w:ascii="Times New Roman" w:hAnsi="Times New Roman" w:cs="Times New Roman"/>
          <w:i/>
          <w:sz w:val="28"/>
          <w:szCs w:val="24"/>
          <w:u w:val="single"/>
        </w:rPr>
        <w:t>городского</w:t>
      </w:r>
      <w:r w:rsidR="00693FE7" w:rsidRPr="00C66A78">
        <w:rPr>
          <w:rFonts w:ascii="Times New Roman" w:hAnsi="Times New Roman" w:cs="Times New Roman"/>
          <w:i/>
          <w:sz w:val="28"/>
          <w:szCs w:val="24"/>
          <w:u w:val="single"/>
        </w:rPr>
        <w:t xml:space="preserve"> округа «город Якутск»</w:t>
      </w:r>
    </w:p>
    <w:p w:rsidR="001307F8" w:rsidRDefault="00C23D0E" w:rsidP="00C23D0E">
      <w:pPr>
        <w:tabs>
          <w:tab w:val="left" w:pos="567"/>
          <w:tab w:val="left" w:pos="1134"/>
        </w:tabs>
        <w:spacing w:line="240" w:lineRule="auto"/>
        <w:ind w:firstLine="567"/>
        <w:jc w:val="both"/>
        <w:rPr>
          <w:rFonts w:ascii="Times New Roman" w:hAnsi="Times New Roman" w:cs="Times New Roman"/>
          <w:sz w:val="28"/>
          <w:szCs w:val="28"/>
        </w:rPr>
      </w:pPr>
      <w:r w:rsidRPr="00C66A78">
        <w:rPr>
          <w:rFonts w:ascii="Times New Roman" w:hAnsi="Times New Roman" w:cs="Times New Roman"/>
          <w:sz w:val="28"/>
          <w:szCs w:val="28"/>
        </w:rPr>
        <w:t>Показатель комплексной оценки эффективности</w:t>
      </w:r>
      <w:r w:rsidR="00BB0F70" w:rsidRPr="00C66A78">
        <w:rPr>
          <w:rFonts w:ascii="Times New Roman" w:hAnsi="Times New Roman" w:cs="Times New Roman"/>
          <w:sz w:val="28"/>
          <w:szCs w:val="28"/>
        </w:rPr>
        <w:t xml:space="preserve"> деятельности заказчиков </w:t>
      </w:r>
      <w:r w:rsidR="00C66A78" w:rsidRPr="00C66A78">
        <w:rPr>
          <w:rFonts w:ascii="Times New Roman" w:hAnsi="Times New Roman" w:cs="Times New Roman"/>
          <w:sz w:val="28"/>
          <w:szCs w:val="28"/>
        </w:rPr>
        <w:t>городского</w:t>
      </w:r>
      <w:r w:rsidR="00BB0F70" w:rsidRPr="00C66A78">
        <w:rPr>
          <w:rFonts w:ascii="Times New Roman" w:hAnsi="Times New Roman" w:cs="Times New Roman"/>
          <w:sz w:val="28"/>
          <w:szCs w:val="28"/>
        </w:rPr>
        <w:t xml:space="preserve"> округа «</w:t>
      </w:r>
      <w:r w:rsidR="00693FE7" w:rsidRPr="00C66A78">
        <w:rPr>
          <w:rFonts w:ascii="Times New Roman" w:hAnsi="Times New Roman" w:cs="Times New Roman"/>
          <w:sz w:val="28"/>
          <w:szCs w:val="28"/>
        </w:rPr>
        <w:t>г</w:t>
      </w:r>
      <w:r w:rsidR="00BB0F70" w:rsidRPr="00C66A78">
        <w:rPr>
          <w:rFonts w:ascii="Times New Roman" w:hAnsi="Times New Roman" w:cs="Times New Roman"/>
          <w:sz w:val="28"/>
          <w:szCs w:val="28"/>
        </w:rPr>
        <w:t>ород Якутск»</w:t>
      </w:r>
      <w:r w:rsidRPr="00C66A78">
        <w:rPr>
          <w:rFonts w:ascii="Times New Roman" w:hAnsi="Times New Roman" w:cs="Times New Roman"/>
          <w:sz w:val="28"/>
          <w:szCs w:val="28"/>
        </w:rPr>
        <w:t xml:space="preserve"> </w:t>
      </w:r>
      <w:r w:rsidR="007564E5" w:rsidRPr="00C66A78">
        <w:rPr>
          <w:rFonts w:ascii="Times New Roman" w:hAnsi="Times New Roman" w:cs="Times New Roman"/>
          <w:sz w:val="28"/>
          <w:szCs w:val="28"/>
        </w:rPr>
        <w:t>рассчитывается</w:t>
      </w:r>
      <w:r w:rsidRPr="00C66A78">
        <w:rPr>
          <w:rFonts w:ascii="Times New Roman" w:hAnsi="Times New Roman" w:cs="Times New Roman"/>
          <w:sz w:val="28"/>
          <w:szCs w:val="28"/>
        </w:rPr>
        <w:t xml:space="preserve"> </w:t>
      </w:r>
      <w:r w:rsidR="007564E5" w:rsidRPr="00C66A78">
        <w:rPr>
          <w:rFonts w:ascii="Times New Roman" w:hAnsi="Times New Roman" w:cs="Times New Roman"/>
          <w:sz w:val="28"/>
          <w:szCs w:val="28"/>
        </w:rPr>
        <w:t>п</w:t>
      </w:r>
      <w:r w:rsidRPr="00C66A78">
        <w:rPr>
          <w:rFonts w:ascii="Times New Roman" w:hAnsi="Times New Roman" w:cs="Times New Roman"/>
          <w:sz w:val="28"/>
          <w:szCs w:val="28"/>
        </w:rPr>
        <w:t>утем суммирования значений показателя соблюдения законодательства при осуществлении закупок</w:t>
      </w:r>
      <w:r w:rsidR="007564E5" w:rsidRPr="00C66A78">
        <w:rPr>
          <w:rFonts w:ascii="Times New Roman" w:hAnsi="Times New Roman" w:cs="Times New Roman"/>
          <w:sz w:val="28"/>
          <w:szCs w:val="28"/>
        </w:rPr>
        <w:t xml:space="preserve"> и показател</w:t>
      </w:r>
      <w:r w:rsidR="00C137B8">
        <w:rPr>
          <w:rFonts w:ascii="Times New Roman" w:hAnsi="Times New Roman" w:cs="Times New Roman"/>
          <w:sz w:val="28"/>
          <w:szCs w:val="28"/>
        </w:rPr>
        <w:t>ей</w:t>
      </w:r>
      <w:r w:rsidR="007564E5" w:rsidRPr="00C66A78">
        <w:rPr>
          <w:rFonts w:ascii="Times New Roman" w:hAnsi="Times New Roman" w:cs="Times New Roman"/>
          <w:sz w:val="28"/>
          <w:szCs w:val="28"/>
        </w:rPr>
        <w:t xml:space="preserve"> эффективности исполнения контракта. </w:t>
      </w:r>
      <w:r w:rsidR="008D12BE">
        <w:rPr>
          <w:rFonts w:ascii="Times New Roman" w:hAnsi="Times New Roman" w:cs="Times New Roman"/>
          <w:sz w:val="28"/>
          <w:szCs w:val="28"/>
        </w:rPr>
        <w:t>Оценка</w:t>
      </w:r>
      <w:r w:rsidR="001307F8" w:rsidRPr="00C66A78">
        <w:rPr>
          <w:rFonts w:ascii="Times New Roman" w:hAnsi="Times New Roman" w:cs="Times New Roman"/>
          <w:sz w:val="28"/>
          <w:szCs w:val="28"/>
        </w:rPr>
        <w:t xml:space="preserve"> </w:t>
      </w:r>
      <w:r w:rsidR="007564E5" w:rsidRPr="00C66A78">
        <w:rPr>
          <w:rFonts w:ascii="Times New Roman" w:hAnsi="Times New Roman" w:cs="Times New Roman"/>
          <w:sz w:val="28"/>
          <w:szCs w:val="28"/>
        </w:rPr>
        <w:t xml:space="preserve">по данному показателю - </w:t>
      </w:r>
      <w:r w:rsidR="001307F8" w:rsidRPr="00C66A78">
        <w:rPr>
          <w:rFonts w:ascii="Times New Roman" w:hAnsi="Times New Roman" w:cs="Times New Roman"/>
          <w:sz w:val="28"/>
          <w:szCs w:val="28"/>
        </w:rPr>
        <w:t xml:space="preserve">эффективная. </w:t>
      </w:r>
      <w:r w:rsidR="00BB0F70" w:rsidRPr="00C66A78">
        <w:rPr>
          <w:rFonts w:ascii="Times New Roman" w:hAnsi="Times New Roman" w:cs="Times New Roman"/>
          <w:sz w:val="28"/>
          <w:szCs w:val="28"/>
        </w:rPr>
        <w:t>Анализ показал, что по показателям, рассчитанным по методике, утверждённой постановлением Окружной администрацией города Якутска от 27 октября 2015 года № 279п</w:t>
      </w:r>
      <w:r w:rsidR="00C137B8">
        <w:rPr>
          <w:rFonts w:ascii="Times New Roman" w:hAnsi="Times New Roman" w:cs="Times New Roman"/>
          <w:sz w:val="28"/>
          <w:szCs w:val="28"/>
        </w:rPr>
        <w:t>,</w:t>
      </w:r>
      <w:r w:rsidR="00BB0F70" w:rsidRPr="00C66A78">
        <w:rPr>
          <w:rFonts w:ascii="Times New Roman" w:hAnsi="Times New Roman" w:cs="Times New Roman"/>
          <w:sz w:val="28"/>
          <w:szCs w:val="28"/>
        </w:rPr>
        <w:t xml:space="preserve"> оценка</w:t>
      </w:r>
      <w:r w:rsidR="00737B70">
        <w:rPr>
          <w:rFonts w:ascii="Times New Roman" w:hAnsi="Times New Roman" w:cs="Times New Roman"/>
          <w:sz w:val="28"/>
          <w:szCs w:val="28"/>
        </w:rPr>
        <w:t xml:space="preserve"> нормативно эффективная</w:t>
      </w:r>
      <w:r w:rsidR="00BB0F70" w:rsidRPr="00C66A78">
        <w:rPr>
          <w:rFonts w:ascii="Times New Roman" w:hAnsi="Times New Roman" w:cs="Times New Roman"/>
          <w:sz w:val="28"/>
          <w:szCs w:val="28"/>
        </w:rPr>
        <w:t xml:space="preserve"> </w:t>
      </w:r>
      <w:r w:rsidR="00737B70">
        <w:rPr>
          <w:rFonts w:ascii="Times New Roman" w:hAnsi="Times New Roman" w:cs="Times New Roman"/>
          <w:sz w:val="28"/>
          <w:szCs w:val="28"/>
        </w:rPr>
        <w:t>присвоена по</w:t>
      </w:r>
      <w:r w:rsidR="00BB0F70" w:rsidRPr="00C66A78">
        <w:rPr>
          <w:rFonts w:ascii="Times New Roman" w:hAnsi="Times New Roman" w:cs="Times New Roman"/>
          <w:sz w:val="28"/>
          <w:szCs w:val="28"/>
        </w:rPr>
        <w:t xml:space="preserve"> показател</w:t>
      </w:r>
      <w:r w:rsidR="00737B70">
        <w:rPr>
          <w:rFonts w:ascii="Times New Roman" w:hAnsi="Times New Roman" w:cs="Times New Roman"/>
          <w:sz w:val="28"/>
          <w:szCs w:val="28"/>
        </w:rPr>
        <w:t>ям эффективности расходования бюджетных средств,</w:t>
      </w:r>
      <w:r w:rsidR="00BB0F70" w:rsidRPr="00C66A78">
        <w:rPr>
          <w:rFonts w:ascii="Times New Roman" w:hAnsi="Times New Roman" w:cs="Times New Roman"/>
          <w:sz w:val="28"/>
          <w:szCs w:val="28"/>
        </w:rPr>
        <w:t xml:space="preserve"> соблюдени</w:t>
      </w:r>
      <w:r w:rsidR="00737B70">
        <w:rPr>
          <w:rFonts w:ascii="Times New Roman" w:hAnsi="Times New Roman" w:cs="Times New Roman"/>
          <w:sz w:val="28"/>
          <w:szCs w:val="28"/>
        </w:rPr>
        <w:t>я</w:t>
      </w:r>
      <w:r w:rsidR="00BB0F70" w:rsidRPr="00C66A78">
        <w:rPr>
          <w:rFonts w:ascii="Times New Roman" w:hAnsi="Times New Roman" w:cs="Times New Roman"/>
          <w:sz w:val="28"/>
          <w:szCs w:val="28"/>
        </w:rPr>
        <w:t xml:space="preserve"> законодательства при о</w:t>
      </w:r>
      <w:r w:rsidR="00737B70">
        <w:rPr>
          <w:rFonts w:ascii="Times New Roman" w:hAnsi="Times New Roman" w:cs="Times New Roman"/>
          <w:sz w:val="28"/>
          <w:szCs w:val="28"/>
        </w:rPr>
        <w:t xml:space="preserve">существлении закупок, эффективная – по показателям </w:t>
      </w:r>
      <w:r w:rsidR="00737B70" w:rsidRPr="00737B70">
        <w:rPr>
          <w:rFonts w:ascii="Times New Roman" w:hAnsi="Times New Roman" w:cs="Times New Roman"/>
          <w:sz w:val="28"/>
          <w:szCs w:val="28"/>
        </w:rPr>
        <w:t>эффективности исполнения контракта</w:t>
      </w:r>
      <w:r w:rsidR="00737B70">
        <w:rPr>
          <w:rFonts w:ascii="Times New Roman" w:hAnsi="Times New Roman" w:cs="Times New Roman"/>
          <w:sz w:val="28"/>
          <w:szCs w:val="28"/>
        </w:rPr>
        <w:t>.</w:t>
      </w:r>
    </w:p>
    <w:p w:rsidR="00095A2E" w:rsidRPr="00095A2E" w:rsidRDefault="00095A2E" w:rsidP="008D6580">
      <w:pPr>
        <w:tabs>
          <w:tab w:val="left" w:pos="567"/>
          <w:tab w:val="left" w:pos="1134"/>
        </w:tabs>
        <w:spacing w:line="240" w:lineRule="auto"/>
        <w:ind w:firstLine="567"/>
        <w:jc w:val="both"/>
        <w:rPr>
          <w:rFonts w:ascii="Times New Roman" w:hAnsi="Times New Roman" w:cs="Times New Roman"/>
          <w:sz w:val="28"/>
          <w:szCs w:val="28"/>
        </w:rPr>
      </w:pPr>
      <w:r w:rsidRPr="00095A2E">
        <w:rPr>
          <w:rFonts w:ascii="Times New Roman" w:hAnsi="Times New Roman" w:cs="Times New Roman"/>
          <w:sz w:val="28"/>
          <w:szCs w:val="28"/>
        </w:rPr>
        <w:t>Выводы</w:t>
      </w:r>
      <w:r w:rsidR="008D6580">
        <w:rPr>
          <w:rFonts w:ascii="Times New Roman" w:hAnsi="Times New Roman" w:cs="Times New Roman"/>
          <w:sz w:val="28"/>
          <w:szCs w:val="28"/>
        </w:rPr>
        <w:t xml:space="preserve"> </w:t>
      </w:r>
      <w:r w:rsidR="008D6580" w:rsidRPr="008D6580">
        <w:rPr>
          <w:rFonts w:ascii="Times New Roman" w:hAnsi="Times New Roman" w:cs="Times New Roman"/>
          <w:sz w:val="28"/>
          <w:szCs w:val="28"/>
        </w:rPr>
        <w:t>о результатах мониторинга закупок для</w:t>
      </w:r>
      <w:r w:rsidR="00C137B8">
        <w:rPr>
          <w:rFonts w:ascii="Times New Roman" w:hAnsi="Times New Roman" w:cs="Times New Roman"/>
          <w:sz w:val="28"/>
          <w:szCs w:val="28"/>
        </w:rPr>
        <w:t xml:space="preserve"> обеспечения</w:t>
      </w:r>
      <w:r w:rsidR="008D6580" w:rsidRPr="008D6580">
        <w:rPr>
          <w:rFonts w:ascii="Times New Roman" w:hAnsi="Times New Roman" w:cs="Times New Roman"/>
          <w:sz w:val="28"/>
          <w:szCs w:val="28"/>
        </w:rPr>
        <w:t xml:space="preserve"> муниципальных нужд за</w:t>
      </w:r>
      <w:r w:rsidR="00E276FE">
        <w:rPr>
          <w:rFonts w:ascii="Times New Roman" w:hAnsi="Times New Roman" w:cs="Times New Roman"/>
          <w:sz w:val="28"/>
          <w:szCs w:val="28"/>
        </w:rPr>
        <w:t xml:space="preserve"> 2016 год</w:t>
      </w:r>
      <w:r w:rsidR="00C137B8">
        <w:rPr>
          <w:rFonts w:ascii="Times New Roman" w:hAnsi="Times New Roman" w:cs="Times New Roman"/>
          <w:sz w:val="28"/>
          <w:szCs w:val="28"/>
        </w:rPr>
        <w:t>:</w:t>
      </w:r>
    </w:p>
    <w:p w:rsidR="00095A2E" w:rsidRPr="00095A2E" w:rsidRDefault="00095A2E" w:rsidP="00095A2E">
      <w:pPr>
        <w:tabs>
          <w:tab w:val="left" w:pos="567"/>
          <w:tab w:val="left" w:pos="1134"/>
        </w:tabs>
        <w:spacing w:line="240" w:lineRule="auto"/>
        <w:ind w:firstLine="567"/>
        <w:jc w:val="both"/>
        <w:rPr>
          <w:rFonts w:ascii="Times New Roman" w:hAnsi="Times New Roman" w:cs="Times New Roman"/>
          <w:sz w:val="28"/>
          <w:szCs w:val="28"/>
        </w:rPr>
      </w:pPr>
      <w:r w:rsidRPr="00095A2E">
        <w:rPr>
          <w:rFonts w:ascii="Times New Roman" w:hAnsi="Times New Roman" w:cs="Times New Roman"/>
          <w:sz w:val="28"/>
          <w:szCs w:val="28"/>
        </w:rPr>
        <w:t>1.</w:t>
      </w:r>
      <w:r w:rsidRPr="00095A2E">
        <w:rPr>
          <w:rFonts w:ascii="Times New Roman" w:hAnsi="Times New Roman" w:cs="Times New Roman"/>
          <w:sz w:val="28"/>
          <w:szCs w:val="28"/>
        </w:rPr>
        <w:tab/>
      </w:r>
      <w:r w:rsidR="008D12BE">
        <w:rPr>
          <w:rFonts w:ascii="Times New Roman" w:hAnsi="Times New Roman" w:cs="Times New Roman"/>
          <w:sz w:val="28"/>
          <w:szCs w:val="28"/>
        </w:rPr>
        <w:t>П</w:t>
      </w:r>
      <w:r w:rsidR="008D12BE" w:rsidRPr="008D12BE">
        <w:rPr>
          <w:rFonts w:ascii="Times New Roman" w:hAnsi="Times New Roman" w:cs="Times New Roman"/>
          <w:sz w:val="28"/>
          <w:szCs w:val="28"/>
        </w:rPr>
        <w:t xml:space="preserve">реобладающим способом определения поставщиков (подрядчиков, исполнителей) </w:t>
      </w:r>
      <w:r w:rsidR="008D12BE">
        <w:rPr>
          <w:rFonts w:ascii="Times New Roman" w:hAnsi="Times New Roman" w:cs="Times New Roman"/>
          <w:sz w:val="28"/>
          <w:szCs w:val="28"/>
        </w:rPr>
        <w:t xml:space="preserve">при осуществлении закупок в городском округе «город Якутск» </w:t>
      </w:r>
      <w:r w:rsidR="00973786">
        <w:rPr>
          <w:rFonts w:ascii="Times New Roman" w:hAnsi="Times New Roman" w:cs="Times New Roman"/>
          <w:sz w:val="28"/>
          <w:szCs w:val="28"/>
        </w:rPr>
        <w:t xml:space="preserve">также остается </w:t>
      </w:r>
      <w:r w:rsidR="008D12BE" w:rsidRPr="008D12BE">
        <w:rPr>
          <w:rFonts w:ascii="Times New Roman" w:hAnsi="Times New Roman" w:cs="Times New Roman"/>
          <w:sz w:val="28"/>
          <w:szCs w:val="28"/>
        </w:rPr>
        <w:t xml:space="preserve">электронный аукцион. Доля электронных аукционов составляет </w:t>
      </w:r>
      <w:r w:rsidR="00664BA1">
        <w:rPr>
          <w:rFonts w:ascii="Times New Roman" w:hAnsi="Times New Roman" w:cs="Times New Roman"/>
          <w:sz w:val="28"/>
          <w:szCs w:val="28"/>
        </w:rPr>
        <w:t>56,1</w:t>
      </w:r>
      <w:r w:rsidR="008D12BE" w:rsidRPr="008D12BE">
        <w:rPr>
          <w:rFonts w:ascii="Times New Roman" w:hAnsi="Times New Roman" w:cs="Times New Roman"/>
          <w:sz w:val="28"/>
          <w:szCs w:val="28"/>
        </w:rPr>
        <w:t xml:space="preserve">% от общего </w:t>
      </w:r>
      <w:r w:rsidR="0035099F">
        <w:rPr>
          <w:rFonts w:ascii="Times New Roman" w:hAnsi="Times New Roman" w:cs="Times New Roman"/>
          <w:sz w:val="28"/>
          <w:szCs w:val="28"/>
        </w:rPr>
        <w:t>объема</w:t>
      </w:r>
      <w:r w:rsidR="008D12BE" w:rsidRPr="008D12BE">
        <w:rPr>
          <w:rFonts w:ascii="Times New Roman" w:hAnsi="Times New Roman" w:cs="Times New Roman"/>
          <w:sz w:val="28"/>
          <w:szCs w:val="28"/>
        </w:rPr>
        <w:t xml:space="preserve"> размещенных в единой информационной системе </w:t>
      </w:r>
      <w:r w:rsidR="0035099F">
        <w:rPr>
          <w:rFonts w:ascii="Times New Roman" w:hAnsi="Times New Roman" w:cs="Times New Roman"/>
          <w:sz w:val="28"/>
          <w:szCs w:val="28"/>
        </w:rPr>
        <w:t>закупок</w:t>
      </w:r>
      <w:r w:rsidR="008D12BE">
        <w:rPr>
          <w:rFonts w:ascii="Times New Roman" w:hAnsi="Times New Roman" w:cs="Times New Roman"/>
          <w:sz w:val="28"/>
          <w:szCs w:val="28"/>
        </w:rPr>
        <w:t>.</w:t>
      </w:r>
    </w:p>
    <w:p w:rsidR="008D12BE" w:rsidRDefault="00095A2E" w:rsidP="00095A2E">
      <w:pPr>
        <w:tabs>
          <w:tab w:val="left" w:pos="567"/>
          <w:tab w:val="left" w:pos="1134"/>
        </w:tabs>
        <w:spacing w:line="240" w:lineRule="auto"/>
        <w:ind w:firstLine="567"/>
        <w:jc w:val="both"/>
        <w:rPr>
          <w:rFonts w:ascii="Times New Roman" w:hAnsi="Times New Roman" w:cs="Times New Roman"/>
          <w:sz w:val="28"/>
          <w:szCs w:val="28"/>
        </w:rPr>
      </w:pPr>
      <w:r w:rsidRPr="00095A2E">
        <w:rPr>
          <w:rFonts w:ascii="Times New Roman" w:hAnsi="Times New Roman" w:cs="Times New Roman"/>
          <w:sz w:val="28"/>
          <w:szCs w:val="28"/>
        </w:rPr>
        <w:t>2.</w:t>
      </w:r>
      <w:r w:rsidRPr="00095A2E">
        <w:rPr>
          <w:rFonts w:ascii="Times New Roman" w:hAnsi="Times New Roman" w:cs="Times New Roman"/>
          <w:sz w:val="28"/>
          <w:szCs w:val="28"/>
        </w:rPr>
        <w:tab/>
      </w:r>
      <w:r w:rsidR="008D12BE" w:rsidRPr="008D12BE">
        <w:rPr>
          <w:rFonts w:ascii="Times New Roman" w:hAnsi="Times New Roman" w:cs="Times New Roman"/>
          <w:sz w:val="28"/>
          <w:szCs w:val="28"/>
        </w:rPr>
        <w:t>Полученные по результатам мониторинга сведения свидетельствуют о положительной динамике роста экономии денежных средств в 2016 год</w:t>
      </w:r>
      <w:r w:rsidR="00FA700D">
        <w:rPr>
          <w:rFonts w:ascii="Times New Roman" w:hAnsi="Times New Roman" w:cs="Times New Roman"/>
          <w:sz w:val="28"/>
          <w:szCs w:val="28"/>
        </w:rPr>
        <w:t>у</w:t>
      </w:r>
      <w:r w:rsidR="008D12BE" w:rsidRPr="008D12BE">
        <w:rPr>
          <w:rFonts w:ascii="Times New Roman" w:hAnsi="Times New Roman" w:cs="Times New Roman"/>
          <w:sz w:val="28"/>
          <w:szCs w:val="28"/>
        </w:rPr>
        <w:t xml:space="preserve">. </w:t>
      </w:r>
      <w:r w:rsidR="0075125F" w:rsidRPr="0075125F">
        <w:rPr>
          <w:rFonts w:ascii="Times New Roman" w:hAnsi="Times New Roman" w:cs="Times New Roman"/>
          <w:sz w:val="28"/>
          <w:szCs w:val="28"/>
        </w:rPr>
        <w:t xml:space="preserve">Экономия бюджетных средств </w:t>
      </w:r>
      <w:r w:rsidR="0075125F" w:rsidRPr="0075125F">
        <w:rPr>
          <w:rFonts w:ascii="Times New Roman" w:hAnsi="Times New Roman" w:cs="Times New Roman"/>
          <w:sz w:val="28"/>
          <w:szCs w:val="28"/>
        </w:rPr>
        <w:lastRenderedPageBreak/>
        <w:t>по результатам проведенных процедур в 2016 году составила 375 млн. рублей или 9,7% от суммы размещенных закупок</w:t>
      </w:r>
      <w:r w:rsidR="008D12BE">
        <w:rPr>
          <w:rFonts w:ascii="Times New Roman" w:hAnsi="Times New Roman" w:cs="Times New Roman"/>
          <w:sz w:val="28"/>
          <w:szCs w:val="28"/>
        </w:rPr>
        <w:t>.</w:t>
      </w:r>
    </w:p>
    <w:p w:rsidR="00E74492" w:rsidRDefault="008D12BE" w:rsidP="00095A2E">
      <w:pPr>
        <w:tabs>
          <w:tab w:val="left" w:pos="567"/>
          <w:tab w:val="left" w:pos="1134"/>
        </w:tabs>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Pr="008D12BE">
        <w:rPr>
          <w:rFonts w:ascii="Times New Roman" w:hAnsi="Times New Roman" w:cs="Times New Roman"/>
          <w:sz w:val="28"/>
          <w:szCs w:val="28"/>
        </w:rPr>
        <w:t>В целях сокращения нарушений законодательства в сфере закупок принимаются меры по поддержанию и повышению уровня квалификации и профессионального образования должностных лиц, в том числе путем повышения квалификации или профессиональной переподготовки в сфере закупок в соответствии с законодате</w:t>
      </w:r>
      <w:r w:rsidR="00C93311">
        <w:rPr>
          <w:rFonts w:ascii="Times New Roman" w:hAnsi="Times New Roman" w:cs="Times New Roman"/>
          <w:sz w:val="28"/>
          <w:szCs w:val="28"/>
        </w:rPr>
        <w:t xml:space="preserve">льством Российской Федерации, </w:t>
      </w:r>
      <w:r w:rsidR="00095A2E" w:rsidRPr="00095A2E">
        <w:rPr>
          <w:rFonts w:ascii="Times New Roman" w:hAnsi="Times New Roman" w:cs="Times New Roman"/>
          <w:sz w:val="28"/>
          <w:szCs w:val="28"/>
        </w:rPr>
        <w:t>актуализаци</w:t>
      </w:r>
      <w:r w:rsidR="00C93311">
        <w:rPr>
          <w:rFonts w:ascii="Times New Roman" w:hAnsi="Times New Roman" w:cs="Times New Roman"/>
          <w:sz w:val="28"/>
          <w:szCs w:val="28"/>
        </w:rPr>
        <w:t xml:space="preserve">и существующих нормативных </w:t>
      </w:r>
      <w:r w:rsidR="00095A2E" w:rsidRPr="00095A2E">
        <w:rPr>
          <w:rFonts w:ascii="Times New Roman" w:hAnsi="Times New Roman" w:cs="Times New Roman"/>
          <w:sz w:val="28"/>
          <w:szCs w:val="28"/>
        </w:rPr>
        <w:t>правовых актов в сфере закупок товаров, работ, услуг</w:t>
      </w:r>
      <w:r>
        <w:rPr>
          <w:rFonts w:ascii="Times New Roman" w:hAnsi="Times New Roman" w:cs="Times New Roman"/>
          <w:sz w:val="28"/>
          <w:szCs w:val="28"/>
        </w:rPr>
        <w:t>.</w:t>
      </w:r>
    </w:p>
    <w:p w:rsidR="008D12BE" w:rsidRDefault="008D12BE" w:rsidP="00095A2E">
      <w:pPr>
        <w:tabs>
          <w:tab w:val="left" w:pos="567"/>
          <w:tab w:val="left" w:pos="1134"/>
        </w:tabs>
        <w:spacing w:line="240" w:lineRule="auto"/>
        <w:ind w:firstLine="567"/>
        <w:jc w:val="both"/>
        <w:rPr>
          <w:rFonts w:ascii="Times New Roman" w:hAnsi="Times New Roman" w:cs="Times New Roman"/>
          <w:sz w:val="28"/>
          <w:szCs w:val="28"/>
        </w:rPr>
      </w:pPr>
    </w:p>
    <w:p w:rsidR="00E74492" w:rsidRPr="00C66A78" w:rsidRDefault="00E74492" w:rsidP="00C23D0E">
      <w:pPr>
        <w:tabs>
          <w:tab w:val="left" w:pos="567"/>
          <w:tab w:val="left" w:pos="1134"/>
        </w:tabs>
        <w:spacing w:line="240" w:lineRule="auto"/>
        <w:ind w:firstLine="567"/>
        <w:jc w:val="both"/>
        <w:rPr>
          <w:rFonts w:ascii="Times New Roman" w:hAnsi="Times New Roman" w:cs="Times New Roman"/>
          <w:sz w:val="28"/>
          <w:szCs w:val="28"/>
        </w:rPr>
      </w:pPr>
    </w:p>
    <w:sectPr w:rsidR="00E74492" w:rsidRPr="00C66A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3B0DF2"/>
    <w:multiLevelType w:val="hybridMultilevel"/>
    <w:tmpl w:val="3D3EBC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167E98"/>
    <w:multiLevelType w:val="hybridMultilevel"/>
    <w:tmpl w:val="C6E4C3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D681FA6"/>
    <w:multiLevelType w:val="multilevel"/>
    <w:tmpl w:val="88E8CA2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34FD13DE"/>
    <w:multiLevelType w:val="hybridMultilevel"/>
    <w:tmpl w:val="7CECEC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3B805D55"/>
    <w:multiLevelType w:val="hybridMultilevel"/>
    <w:tmpl w:val="F25EC6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73A5AB6"/>
    <w:multiLevelType w:val="hybridMultilevel"/>
    <w:tmpl w:val="11F40912"/>
    <w:lvl w:ilvl="0" w:tplc="6F7A1DD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70302C2E"/>
    <w:multiLevelType w:val="multilevel"/>
    <w:tmpl w:val="2150563C"/>
    <w:lvl w:ilvl="0">
      <w:start w:val="3"/>
      <w:numFmt w:val="decimal"/>
      <w:lvlText w:val="%1."/>
      <w:lvlJc w:val="left"/>
      <w:pPr>
        <w:ind w:left="360" w:hanging="360"/>
      </w:pPr>
      <w:rPr>
        <w:rFonts w:hint="default"/>
        <w:i w:val="0"/>
        <w:sz w:val="24"/>
        <w:u w:val="none"/>
      </w:rPr>
    </w:lvl>
    <w:lvl w:ilvl="1">
      <w:start w:val="1"/>
      <w:numFmt w:val="decimal"/>
      <w:lvlText w:val="%1.%2."/>
      <w:lvlJc w:val="left"/>
      <w:pPr>
        <w:ind w:left="720" w:hanging="720"/>
      </w:pPr>
      <w:rPr>
        <w:rFonts w:hint="default"/>
        <w:i w:val="0"/>
        <w:sz w:val="24"/>
        <w:u w:val="none"/>
      </w:rPr>
    </w:lvl>
    <w:lvl w:ilvl="2">
      <w:start w:val="1"/>
      <w:numFmt w:val="decimal"/>
      <w:lvlText w:val="%1.%2.%3."/>
      <w:lvlJc w:val="left"/>
      <w:pPr>
        <w:ind w:left="720" w:hanging="720"/>
      </w:pPr>
      <w:rPr>
        <w:rFonts w:hint="default"/>
        <w:i w:val="0"/>
        <w:sz w:val="24"/>
        <w:u w:val="none"/>
      </w:rPr>
    </w:lvl>
    <w:lvl w:ilvl="3">
      <w:start w:val="1"/>
      <w:numFmt w:val="decimal"/>
      <w:lvlText w:val="%1.%2.%3.%4."/>
      <w:lvlJc w:val="left"/>
      <w:pPr>
        <w:ind w:left="1080" w:hanging="1080"/>
      </w:pPr>
      <w:rPr>
        <w:rFonts w:hint="default"/>
        <w:i w:val="0"/>
        <w:sz w:val="24"/>
        <w:u w:val="none"/>
      </w:rPr>
    </w:lvl>
    <w:lvl w:ilvl="4">
      <w:start w:val="1"/>
      <w:numFmt w:val="decimal"/>
      <w:lvlText w:val="%1.%2.%3.%4.%5."/>
      <w:lvlJc w:val="left"/>
      <w:pPr>
        <w:ind w:left="1080" w:hanging="1080"/>
      </w:pPr>
      <w:rPr>
        <w:rFonts w:hint="default"/>
        <w:i w:val="0"/>
        <w:sz w:val="24"/>
        <w:u w:val="none"/>
      </w:rPr>
    </w:lvl>
    <w:lvl w:ilvl="5">
      <w:start w:val="1"/>
      <w:numFmt w:val="decimal"/>
      <w:lvlText w:val="%1.%2.%3.%4.%5.%6."/>
      <w:lvlJc w:val="left"/>
      <w:pPr>
        <w:ind w:left="1440" w:hanging="1440"/>
      </w:pPr>
      <w:rPr>
        <w:rFonts w:hint="default"/>
        <w:i w:val="0"/>
        <w:sz w:val="24"/>
        <w:u w:val="none"/>
      </w:rPr>
    </w:lvl>
    <w:lvl w:ilvl="6">
      <w:start w:val="1"/>
      <w:numFmt w:val="decimal"/>
      <w:lvlText w:val="%1.%2.%3.%4.%5.%6.%7."/>
      <w:lvlJc w:val="left"/>
      <w:pPr>
        <w:ind w:left="1800" w:hanging="1800"/>
      </w:pPr>
      <w:rPr>
        <w:rFonts w:hint="default"/>
        <w:i w:val="0"/>
        <w:sz w:val="24"/>
        <w:u w:val="none"/>
      </w:rPr>
    </w:lvl>
    <w:lvl w:ilvl="7">
      <w:start w:val="1"/>
      <w:numFmt w:val="decimal"/>
      <w:lvlText w:val="%1.%2.%3.%4.%5.%6.%7.%8."/>
      <w:lvlJc w:val="left"/>
      <w:pPr>
        <w:ind w:left="1800" w:hanging="1800"/>
      </w:pPr>
      <w:rPr>
        <w:rFonts w:hint="default"/>
        <w:i w:val="0"/>
        <w:sz w:val="24"/>
        <w:u w:val="none"/>
      </w:rPr>
    </w:lvl>
    <w:lvl w:ilvl="8">
      <w:start w:val="1"/>
      <w:numFmt w:val="decimal"/>
      <w:lvlText w:val="%1.%2.%3.%4.%5.%6.%7.%8.%9."/>
      <w:lvlJc w:val="left"/>
      <w:pPr>
        <w:ind w:left="2160" w:hanging="2160"/>
      </w:pPr>
      <w:rPr>
        <w:rFonts w:hint="default"/>
        <w:i w:val="0"/>
        <w:sz w:val="24"/>
        <w:u w:val="none"/>
      </w:rPr>
    </w:lvl>
  </w:abstractNum>
  <w:abstractNum w:abstractNumId="7">
    <w:nsid w:val="76493048"/>
    <w:multiLevelType w:val="hybridMultilevel"/>
    <w:tmpl w:val="576C45CA"/>
    <w:lvl w:ilvl="0" w:tplc="5E5C5D28">
      <w:start w:val="23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56F"/>
    <w:rsid w:val="00001F42"/>
    <w:rsid w:val="000248ED"/>
    <w:rsid w:val="000475E4"/>
    <w:rsid w:val="00072269"/>
    <w:rsid w:val="00083452"/>
    <w:rsid w:val="00095A2E"/>
    <w:rsid w:val="000A1D49"/>
    <w:rsid w:val="000B3493"/>
    <w:rsid w:val="000C01ED"/>
    <w:rsid w:val="000F41AB"/>
    <w:rsid w:val="00102675"/>
    <w:rsid w:val="00116BB0"/>
    <w:rsid w:val="0012319E"/>
    <w:rsid w:val="001307F8"/>
    <w:rsid w:val="00132A41"/>
    <w:rsid w:val="00136DBF"/>
    <w:rsid w:val="00156FAB"/>
    <w:rsid w:val="00162F57"/>
    <w:rsid w:val="001A63B5"/>
    <w:rsid w:val="001D5AC1"/>
    <w:rsid w:val="001F58E9"/>
    <w:rsid w:val="0022221B"/>
    <w:rsid w:val="00240A87"/>
    <w:rsid w:val="0025756F"/>
    <w:rsid w:val="00260FB6"/>
    <w:rsid w:val="002757DE"/>
    <w:rsid w:val="0028642D"/>
    <w:rsid w:val="002A772B"/>
    <w:rsid w:val="002D1905"/>
    <w:rsid w:val="002D3381"/>
    <w:rsid w:val="002E0C58"/>
    <w:rsid w:val="002E43A8"/>
    <w:rsid w:val="002E50E0"/>
    <w:rsid w:val="002F106C"/>
    <w:rsid w:val="00304DC5"/>
    <w:rsid w:val="00306588"/>
    <w:rsid w:val="00312F2B"/>
    <w:rsid w:val="00314EFD"/>
    <w:rsid w:val="00350998"/>
    <w:rsid w:val="0035099F"/>
    <w:rsid w:val="00364519"/>
    <w:rsid w:val="00395F0C"/>
    <w:rsid w:val="003A11DD"/>
    <w:rsid w:val="003B4AFD"/>
    <w:rsid w:val="003B573F"/>
    <w:rsid w:val="003D272E"/>
    <w:rsid w:val="003F2578"/>
    <w:rsid w:val="00400863"/>
    <w:rsid w:val="00407161"/>
    <w:rsid w:val="00434BD5"/>
    <w:rsid w:val="00455D47"/>
    <w:rsid w:val="004B7FE0"/>
    <w:rsid w:val="004D30ED"/>
    <w:rsid w:val="00507D74"/>
    <w:rsid w:val="0051338E"/>
    <w:rsid w:val="00536C5D"/>
    <w:rsid w:val="005668EA"/>
    <w:rsid w:val="00590FE1"/>
    <w:rsid w:val="005A5DA2"/>
    <w:rsid w:val="005D7E1D"/>
    <w:rsid w:val="005F24E0"/>
    <w:rsid w:val="005F3378"/>
    <w:rsid w:val="006313C5"/>
    <w:rsid w:val="00664BA1"/>
    <w:rsid w:val="006708AF"/>
    <w:rsid w:val="00693FE7"/>
    <w:rsid w:val="006B4AA2"/>
    <w:rsid w:val="006C0708"/>
    <w:rsid w:val="006C1371"/>
    <w:rsid w:val="006C22D0"/>
    <w:rsid w:val="00732E70"/>
    <w:rsid w:val="00737B70"/>
    <w:rsid w:val="0075125F"/>
    <w:rsid w:val="007564E5"/>
    <w:rsid w:val="0076769F"/>
    <w:rsid w:val="00771F05"/>
    <w:rsid w:val="007934DC"/>
    <w:rsid w:val="007946FB"/>
    <w:rsid w:val="007A6259"/>
    <w:rsid w:val="007A6C01"/>
    <w:rsid w:val="007D5923"/>
    <w:rsid w:val="00806EDD"/>
    <w:rsid w:val="00816B82"/>
    <w:rsid w:val="008306A5"/>
    <w:rsid w:val="00851B25"/>
    <w:rsid w:val="008C109B"/>
    <w:rsid w:val="008D12BE"/>
    <w:rsid w:val="008D4C12"/>
    <w:rsid w:val="008D6580"/>
    <w:rsid w:val="00962F23"/>
    <w:rsid w:val="00973786"/>
    <w:rsid w:val="00977456"/>
    <w:rsid w:val="00977DDD"/>
    <w:rsid w:val="00995C55"/>
    <w:rsid w:val="00997C24"/>
    <w:rsid w:val="009A6075"/>
    <w:rsid w:val="009A7195"/>
    <w:rsid w:val="009B69F7"/>
    <w:rsid w:val="009D2A28"/>
    <w:rsid w:val="00A23105"/>
    <w:rsid w:val="00A41C7C"/>
    <w:rsid w:val="00A448A6"/>
    <w:rsid w:val="00A75A53"/>
    <w:rsid w:val="00AB3C76"/>
    <w:rsid w:val="00AE43D3"/>
    <w:rsid w:val="00AE47E9"/>
    <w:rsid w:val="00AE48B3"/>
    <w:rsid w:val="00AF6B59"/>
    <w:rsid w:val="00AF7137"/>
    <w:rsid w:val="00B02B71"/>
    <w:rsid w:val="00B13AA4"/>
    <w:rsid w:val="00B25E0A"/>
    <w:rsid w:val="00B272B9"/>
    <w:rsid w:val="00B32C9C"/>
    <w:rsid w:val="00B662F7"/>
    <w:rsid w:val="00B84841"/>
    <w:rsid w:val="00B94CF7"/>
    <w:rsid w:val="00BA3B0A"/>
    <w:rsid w:val="00BB0F70"/>
    <w:rsid w:val="00BD3390"/>
    <w:rsid w:val="00BD7E4A"/>
    <w:rsid w:val="00BF5447"/>
    <w:rsid w:val="00C137B8"/>
    <w:rsid w:val="00C23D0E"/>
    <w:rsid w:val="00C2482A"/>
    <w:rsid w:val="00C26329"/>
    <w:rsid w:val="00C4381D"/>
    <w:rsid w:val="00C461CB"/>
    <w:rsid w:val="00C66A78"/>
    <w:rsid w:val="00C7185C"/>
    <w:rsid w:val="00C82661"/>
    <w:rsid w:val="00C93311"/>
    <w:rsid w:val="00CA105B"/>
    <w:rsid w:val="00CD6B24"/>
    <w:rsid w:val="00D05997"/>
    <w:rsid w:val="00D31417"/>
    <w:rsid w:val="00D7018E"/>
    <w:rsid w:val="00D83D61"/>
    <w:rsid w:val="00D868C3"/>
    <w:rsid w:val="00DB1894"/>
    <w:rsid w:val="00DC7640"/>
    <w:rsid w:val="00DE0D8D"/>
    <w:rsid w:val="00DE1A99"/>
    <w:rsid w:val="00DF3B04"/>
    <w:rsid w:val="00DF68EB"/>
    <w:rsid w:val="00E276FE"/>
    <w:rsid w:val="00E62839"/>
    <w:rsid w:val="00E64B50"/>
    <w:rsid w:val="00E66118"/>
    <w:rsid w:val="00E74492"/>
    <w:rsid w:val="00E8074E"/>
    <w:rsid w:val="00E900B1"/>
    <w:rsid w:val="00F00A36"/>
    <w:rsid w:val="00F236D7"/>
    <w:rsid w:val="00F6566F"/>
    <w:rsid w:val="00F72D5C"/>
    <w:rsid w:val="00F852C2"/>
    <w:rsid w:val="00F95824"/>
    <w:rsid w:val="00F96C8A"/>
    <w:rsid w:val="00FA700D"/>
    <w:rsid w:val="00FA75DA"/>
    <w:rsid w:val="00FB2770"/>
    <w:rsid w:val="00FB42F2"/>
    <w:rsid w:val="00FC49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D19FB8-B656-4524-9769-F791AA33B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6FAB"/>
    <w:pPr>
      <w:ind w:left="720"/>
      <w:contextualSpacing/>
    </w:pPr>
  </w:style>
  <w:style w:type="table" w:styleId="a4">
    <w:name w:val="Table Grid"/>
    <w:basedOn w:val="a1"/>
    <w:uiPriority w:val="39"/>
    <w:rsid w:val="007946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link w:val="a6"/>
    <w:uiPriority w:val="1"/>
    <w:qFormat/>
    <w:rsid w:val="00C7185C"/>
    <w:pPr>
      <w:spacing w:after="0" w:line="240" w:lineRule="auto"/>
    </w:pPr>
  </w:style>
  <w:style w:type="character" w:customStyle="1" w:styleId="a6">
    <w:name w:val="Без интервала Знак"/>
    <w:basedOn w:val="a0"/>
    <w:link w:val="a5"/>
    <w:uiPriority w:val="1"/>
    <w:rsid w:val="00C7185C"/>
  </w:style>
  <w:style w:type="character" w:styleId="a7">
    <w:name w:val="Hyperlink"/>
    <w:basedOn w:val="a0"/>
    <w:uiPriority w:val="99"/>
    <w:unhideWhenUsed/>
    <w:rsid w:val="00DC76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270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styles" Target="styles.xml"/><Relationship Id="rId7" Type="http://schemas.openxmlformats.org/officeDocument/2006/relationships/chart" Target="charts/chart2.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3" Type="http://schemas.openxmlformats.org/officeDocument/2006/relationships/package" Target="../embeddings/_____Microsoft_Excel5.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0"/>
          <a:lstStyle/>
          <a:p>
            <a:pPr>
              <a:defRPr sz="1400" b="1" i="0" u="none" strike="noStrike" kern="1200" baseline="0">
                <a:solidFill>
                  <a:schemeClr val="tx2"/>
                </a:solidFill>
                <a:latin typeface="Times New Roman" panose="02020603050405020304" pitchFamily="18" charset="0"/>
                <a:ea typeface="+mn-ea"/>
                <a:cs typeface="+mn-cs"/>
              </a:defRPr>
            </a:pPr>
            <a:r>
              <a:rPr lang="ru-RU" sz="1400" baseline="0">
                <a:latin typeface="Times New Roman" panose="02020603050405020304" pitchFamily="18" charset="0"/>
              </a:rPr>
              <a:t>Структура закупок в разрезе способов определения поставщика (подрядчика, исполнителя)   </a:t>
            </a:r>
          </a:p>
        </c:rich>
      </c:tx>
      <c:layout>
        <c:manualLayout>
          <c:xMode val="edge"/>
          <c:yMode val="edge"/>
          <c:x val="0.14660679531375215"/>
          <c:y val="3.6963002575497735E-2"/>
        </c:manualLayout>
      </c:layout>
      <c:overlay val="0"/>
      <c:spPr>
        <a:noFill/>
        <a:ln>
          <a:noFill/>
        </a:ln>
        <a:effectLst/>
      </c:spPr>
      <c:txPr>
        <a:bodyPr rot="0" spcFirstLastPara="1" vertOverflow="ellipsis" vert="horz" wrap="square" anchor="ctr" anchorCtr="0"/>
        <a:lstStyle/>
        <a:p>
          <a:pPr>
            <a:defRPr sz="1400" b="1" i="0" u="none" strike="noStrike" kern="1200" baseline="0">
              <a:solidFill>
                <a:schemeClr val="tx2"/>
              </a:solidFill>
              <a:latin typeface="Times New Roman" panose="02020603050405020304" pitchFamily="18" charset="0"/>
              <a:ea typeface="+mn-ea"/>
              <a:cs typeface="+mn-cs"/>
            </a:defRPr>
          </a:pPr>
          <a:endParaRPr lang="ru-RU"/>
        </a:p>
      </c:txPr>
    </c:title>
    <c:autoTitleDeleted val="0"/>
    <c:plotArea>
      <c:layout/>
      <c:pieChart>
        <c:varyColors val="1"/>
        <c:ser>
          <c:idx val="0"/>
          <c:order val="0"/>
          <c:tx>
            <c:strRef>
              <c:f>Лист1!$B$1</c:f>
              <c:strCache>
                <c:ptCount val="1"/>
                <c:pt idx="0">
                  <c:v>Столбец1</c:v>
                </c:pt>
              </c:strCache>
            </c:strRef>
          </c:tx>
          <c:dPt>
            <c:idx val="0"/>
            <c:bubble3D val="0"/>
            <c:explosion val="1"/>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dPt>
          <c:dLbls>
            <c:dLbl>
              <c:idx val="0"/>
              <c:layout>
                <c:manualLayout>
                  <c:x val="5.2229193013571158E-2"/>
                  <c:y val="-6.4843326293396009E-2"/>
                </c:manualLayout>
              </c:layout>
              <c:tx>
                <c:rich>
                  <a:bodyPr/>
                  <a:lstStyle/>
                  <a:p>
                    <a:fld id="{FEB81810-4830-40FA-B2AA-589B7A6F05C7}" type="CATEGORYNAME">
                      <a:rPr lang="ru-RU"/>
                      <a:pPr/>
                      <a:t>[ИМЯ КАТЕГОРИИ]</a:t>
                    </a:fld>
                    <a:r>
                      <a:rPr lang="ru-RU" baseline="0"/>
                      <a:t>
3 854,7 млн.руб.</a:t>
                    </a:r>
                  </a:p>
                </c:rich>
              </c:tx>
              <c:dLblPos val="bestFit"/>
              <c:showLegendKey val="0"/>
              <c:showVal val="0"/>
              <c:showCatName val="1"/>
              <c:showSerName val="0"/>
              <c:showPercent val="1"/>
              <c:showBubbleSize val="0"/>
              <c:extLst>
                <c:ext xmlns:c15="http://schemas.microsoft.com/office/drawing/2012/chart" uri="{CE6537A1-D6FC-4f65-9D91-7224C49458BB}">
                  <c15:layout>
                    <c:manualLayout>
                      <c:w val="0.26429510667602191"/>
                      <c:h val="0.13533622701594436"/>
                    </c:manualLayout>
                  </c15:layout>
                  <c15:dlblFieldTable/>
                  <c15:showDataLabelsRange val="0"/>
                </c:ext>
              </c:extLst>
            </c:dLbl>
            <c:dLbl>
              <c:idx val="1"/>
              <c:layout>
                <c:manualLayout>
                  <c:x val="1.3145714848792706E-2"/>
                  <c:y val="0.14507419714306086"/>
                </c:manualLayout>
              </c:layout>
              <c:tx>
                <c:rich>
                  <a:bodyPr/>
                  <a:lstStyle/>
                  <a:p>
                    <a:fld id="{5AFF1702-F14F-4F9B-B300-4ECFDD661EF3}" type="CATEGORYNAME">
                      <a:rPr lang="ru-RU"/>
                      <a:pPr/>
                      <a:t>[ИМЯ КАТЕГОРИИ]</a:t>
                    </a:fld>
                    <a:r>
                      <a:rPr lang="ru-RU" baseline="0"/>
                      <a:t>
1 164,6 млн.руб.</a:t>
                    </a:r>
                  </a:p>
                </c:rich>
              </c:tx>
              <c:dLblPos val="bestFit"/>
              <c:showLegendKey val="0"/>
              <c:showVal val="0"/>
              <c:showCatName val="1"/>
              <c:showSerName val="0"/>
              <c:showPercent val="1"/>
              <c:showBubbleSize val="0"/>
              <c:extLst>
                <c:ext xmlns:c15="http://schemas.microsoft.com/office/drawing/2012/chart" uri="{CE6537A1-D6FC-4f65-9D91-7224C49458BB}">
                  <c15:layout>
                    <c:manualLayout>
                      <c:w val="0.17442044991900765"/>
                      <c:h val="0.15011000356257406"/>
                    </c:manualLayout>
                  </c15:layout>
                  <c15:dlblFieldTable/>
                  <c15:showDataLabelsRange val="0"/>
                </c:ext>
              </c:extLst>
            </c:dLbl>
            <c:dLbl>
              <c:idx val="2"/>
              <c:layout>
                <c:manualLayout>
                  <c:x val="1.5498794788081686E-2"/>
                  <c:y val="8.4711443979743561E-2"/>
                </c:manualLayout>
              </c:layout>
              <c:tx>
                <c:rich>
                  <a:bodyPr/>
                  <a:lstStyle/>
                  <a:p>
                    <a:fld id="{0B6E937D-3648-49F6-BDC1-4D12A9F3079F}" type="CATEGORYNAME">
                      <a:rPr lang="ru-RU"/>
                      <a:pPr/>
                      <a:t>[ИМЯ КАТЕГОРИИ]</a:t>
                    </a:fld>
                    <a:r>
                      <a:rPr lang="ru-RU" baseline="0"/>
                      <a:t>
82,9 млн.руб.</a:t>
                    </a:r>
                  </a:p>
                </c:rich>
              </c:tx>
              <c:dLblPos val="bestFit"/>
              <c:showLegendKey val="0"/>
              <c:showVal val="0"/>
              <c:showCatName val="1"/>
              <c:showSerName val="0"/>
              <c:showPercent val="1"/>
              <c:showBubbleSize val="0"/>
              <c:extLst>
                <c:ext xmlns:c15="http://schemas.microsoft.com/office/drawing/2012/chart" uri="{CE6537A1-D6FC-4f65-9D91-7224C49458BB}">
                  <c15:layout>
                    <c:manualLayout>
                      <c:w val="0.2449264139012326"/>
                      <c:h val="0.15011000356257406"/>
                    </c:manualLayout>
                  </c15:layout>
                  <c15:dlblFieldTable/>
                  <c15:showDataLabelsRange val="0"/>
                </c:ext>
              </c:extLst>
            </c:dLbl>
            <c:dLbl>
              <c:idx val="3"/>
              <c:layout>
                <c:manualLayout>
                  <c:x val="1.323917431113188E-2"/>
                  <c:y val="-7.3399786245555876E-2"/>
                </c:manualLayout>
              </c:layout>
              <c:tx>
                <c:rich>
                  <a:bodyPr/>
                  <a:lstStyle/>
                  <a:p>
                    <a:fld id="{E7F9FF09-FF0E-465F-84CD-713BFD3ED3FF}" type="CATEGORYNAME">
                      <a:rPr lang="ru-RU"/>
                      <a:pPr/>
                      <a:t>[ИМЯ КАТЕГОРИИ]</a:t>
                    </a:fld>
                    <a:r>
                      <a:rPr lang="ru-RU" baseline="0"/>
                      <a:t>
8,96 млн.руб.</a:t>
                    </a:r>
                  </a:p>
                </c:rich>
              </c:tx>
              <c:dLblPos val="bestFit"/>
              <c:showLegendKey val="0"/>
              <c:showVal val="0"/>
              <c:showCatName val="1"/>
              <c:showSerName val="0"/>
              <c:showPercent val="1"/>
              <c:showBubbleSize val="0"/>
              <c:extLst>
                <c:ext xmlns:c15="http://schemas.microsoft.com/office/drawing/2012/chart" uri="{CE6537A1-D6FC-4f65-9D91-7224C49458BB}">
                  <c15:layout>
                    <c:manualLayout>
                      <c:w val="0.22166385142451248"/>
                      <c:h val="0.12458685046640638"/>
                    </c:manualLayout>
                  </c15:layout>
                  <c15:dlblFieldTable/>
                  <c15:showDataLabelsRange val="0"/>
                </c:ext>
              </c:extLst>
            </c:dLbl>
            <c:dLbl>
              <c:idx val="4"/>
              <c:layout>
                <c:manualLayout>
                  <c:x val="1.9311348457680413E-2"/>
                  <c:y val="9.0307617365003555E-3"/>
                </c:manualLayout>
              </c:layout>
              <c:tx>
                <c:rich>
                  <a:bodyPr/>
                  <a:lstStyle/>
                  <a:p>
                    <a:fld id="{6D774172-F874-4070-9700-E05F8457F692}" type="CATEGORYNAME">
                      <a:rPr lang="ru-RU"/>
                      <a:pPr/>
                      <a:t>[ИМЯ КАТЕГОРИИ]</a:t>
                    </a:fld>
                    <a:r>
                      <a:rPr lang="ru-RU" baseline="0"/>
                      <a:t>
1 759,9 млн.руб.</a:t>
                    </a:r>
                  </a:p>
                </c:rich>
              </c:tx>
              <c:dLblPos val="bestFit"/>
              <c:showLegendKey val="0"/>
              <c:showVal val="0"/>
              <c:showCatName val="1"/>
              <c:showSerName val="0"/>
              <c:showPercent val="1"/>
              <c:showBubbleSize val="0"/>
              <c:extLst>
                <c:ext xmlns:c15="http://schemas.microsoft.com/office/drawing/2012/chart" uri="{CE6537A1-D6FC-4f65-9D91-7224C49458BB}">
                  <c15:layout>
                    <c:manualLayout>
                      <c:w val="0.224232463672251"/>
                      <c:h val="0.15057520794975252"/>
                    </c:manualLayout>
                  </c15:layout>
                  <c15:dlblFieldTable/>
                  <c15:showDataLabelsRange val="0"/>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2">
                        <a:lumMod val="75000"/>
                      </a:schemeClr>
                    </a:solidFill>
                    <a:latin typeface="+mn-lt"/>
                    <a:ea typeface="+mn-ea"/>
                    <a:cs typeface="+mn-cs"/>
                  </a:defRPr>
                </a:pPr>
                <a:endParaRPr lang="ru-RU"/>
              </a:p>
            </c:txPr>
            <c:dLblPos val="ctr"/>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Лист1!$A$2:$A$6</c:f>
              <c:strCache>
                <c:ptCount val="5"/>
                <c:pt idx="0">
                  <c:v>Электронный аукцион</c:v>
                </c:pt>
                <c:pt idx="1">
                  <c:v>Конкурс</c:v>
                </c:pt>
                <c:pt idx="2">
                  <c:v>Запрос котировок</c:v>
                </c:pt>
                <c:pt idx="3">
                  <c:v>Запрос предложений</c:v>
                </c:pt>
                <c:pt idx="4">
                  <c:v>закупки у единственного поставщика</c:v>
                </c:pt>
              </c:strCache>
            </c:strRef>
          </c:cat>
          <c:val>
            <c:numRef>
              <c:f>Лист1!$B$2:$B$6</c:f>
              <c:numCache>
                <c:formatCode>General</c:formatCode>
                <c:ptCount val="5"/>
                <c:pt idx="0">
                  <c:v>3854.7</c:v>
                </c:pt>
                <c:pt idx="1">
                  <c:v>1164.5999999999999</c:v>
                </c:pt>
                <c:pt idx="2">
                  <c:v>82.9</c:v>
                </c:pt>
                <c:pt idx="3">
                  <c:v>8.9600000000000009</c:v>
                </c:pt>
                <c:pt idx="4">
                  <c:v>1759.9</c:v>
                </c:pt>
              </c:numCache>
            </c:numRef>
          </c:val>
        </c:ser>
        <c:dLbls>
          <c:dLblPos val="ctr"/>
          <c:showLegendKey val="0"/>
          <c:showVal val="0"/>
          <c:showCatName val="0"/>
          <c:showSerName val="0"/>
          <c:showPercent val="1"/>
          <c:showBubbleSize val="0"/>
          <c:showLeaderLines val="0"/>
        </c:dLbls>
        <c:firstSliceAng val="0"/>
      </c:pieChart>
      <c:spPr>
        <a:noFill/>
        <a:ln>
          <a:noFill/>
        </a:ln>
        <a:effectLst/>
      </c:spPr>
    </c:plotArea>
    <c:legend>
      <c:legendPos val="b"/>
      <c:layout>
        <c:manualLayout>
          <c:xMode val="edge"/>
          <c:yMode val="edge"/>
          <c:x val="0.51745536758400246"/>
          <c:y val="0.76315658603616376"/>
          <c:w val="0.48214097000251205"/>
          <c:h val="0.2220696374172065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Объемы</a:t>
            </a:r>
            <a:r>
              <a:rPr lang="ru-RU" baseline="0"/>
              <a:t> закупок</a:t>
            </a:r>
            <a:r>
              <a:rPr lang="ru-RU"/>
              <a:t> в 2015 г. и 2016 г. (в млн. руб.)</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2015 год</c:v>
                </c:pt>
              </c:strCache>
            </c:strRef>
          </c:tx>
          <c:spPr>
            <a:solidFill>
              <a:schemeClr val="accent1"/>
            </a:solidFill>
            <a:ln>
              <a:noFill/>
            </a:ln>
            <a:effectLst/>
          </c:spPr>
          <c:invertIfNegative val="0"/>
          <c:cat>
            <c:strRef>
              <c:f>Лист1!$A$2:$A$5</c:f>
              <c:strCache>
                <c:ptCount val="4"/>
                <c:pt idx="0">
                  <c:v>аукцион</c:v>
                </c:pt>
                <c:pt idx="1">
                  <c:v>конкурс</c:v>
                </c:pt>
                <c:pt idx="2">
                  <c:v>запрос котировок</c:v>
                </c:pt>
                <c:pt idx="3">
                  <c:v>запрос предложений</c:v>
                </c:pt>
              </c:strCache>
            </c:strRef>
          </c:cat>
          <c:val>
            <c:numRef>
              <c:f>Лист1!$B$2:$B$5</c:f>
              <c:numCache>
                <c:formatCode>General</c:formatCode>
                <c:ptCount val="4"/>
                <c:pt idx="0">
                  <c:v>3006.7</c:v>
                </c:pt>
                <c:pt idx="1">
                  <c:v>3179.3</c:v>
                </c:pt>
                <c:pt idx="2">
                  <c:v>70.099999999999994</c:v>
                </c:pt>
                <c:pt idx="3">
                  <c:v>84.6</c:v>
                </c:pt>
              </c:numCache>
            </c:numRef>
          </c:val>
        </c:ser>
        <c:ser>
          <c:idx val="1"/>
          <c:order val="1"/>
          <c:tx>
            <c:strRef>
              <c:f>Лист1!$C$1</c:f>
              <c:strCache>
                <c:ptCount val="1"/>
                <c:pt idx="0">
                  <c:v>2016 год</c:v>
                </c:pt>
              </c:strCache>
            </c:strRef>
          </c:tx>
          <c:spPr>
            <a:solidFill>
              <a:schemeClr val="accent2"/>
            </a:solidFill>
            <a:ln>
              <a:noFill/>
            </a:ln>
            <a:effectLst/>
          </c:spPr>
          <c:invertIfNegative val="0"/>
          <c:cat>
            <c:strRef>
              <c:f>Лист1!$A$2:$A$5</c:f>
              <c:strCache>
                <c:ptCount val="4"/>
                <c:pt idx="0">
                  <c:v>аукцион</c:v>
                </c:pt>
                <c:pt idx="1">
                  <c:v>конкурс</c:v>
                </c:pt>
                <c:pt idx="2">
                  <c:v>запрос котировок</c:v>
                </c:pt>
                <c:pt idx="3">
                  <c:v>запрос предложений</c:v>
                </c:pt>
              </c:strCache>
            </c:strRef>
          </c:cat>
          <c:val>
            <c:numRef>
              <c:f>Лист1!$C$2:$C$5</c:f>
              <c:numCache>
                <c:formatCode>General</c:formatCode>
                <c:ptCount val="4"/>
                <c:pt idx="0">
                  <c:v>3854.6</c:v>
                </c:pt>
                <c:pt idx="1">
                  <c:v>1164.5999999999999</c:v>
                </c:pt>
                <c:pt idx="2">
                  <c:v>82.9</c:v>
                </c:pt>
                <c:pt idx="3">
                  <c:v>8.9</c:v>
                </c:pt>
              </c:numCache>
            </c:numRef>
          </c:val>
        </c:ser>
        <c:dLbls>
          <c:showLegendKey val="0"/>
          <c:showVal val="0"/>
          <c:showCatName val="0"/>
          <c:showSerName val="0"/>
          <c:showPercent val="0"/>
          <c:showBubbleSize val="0"/>
        </c:dLbls>
        <c:gapWidth val="219"/>
        <c:overlap val="-27"/>
        <c:axId val="271004312"/>
        <c:axId val="271003528"/>
      </c:barChart>
      <c:catAx>
        <c:axId val="2710043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71003528"/>
        <c:crosses val="autoZero"/>
        <c:auto val="1"/>
        <c:lblAlgn val="ctr"/>
        <c:lblOffset val="100"/>
        <c:noMultiLvlLbl val="0"/>
      </c:catAx>
      <c:valAx>
        <c:axId val="2710035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7100431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400">
                <a:latin typeface="Times New Roman" panose="02020603050405020304" pitchFamily="18" charset="0"/>
                <a:cs typeface="Times New Roman" panose="02020603050405020304" pitchFamily="18" charset="0"/>
              </a:rPr>
              <a:t>Экономия бюджетных средств по проведенным процедурам, в млн.руб.</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0.1979938906400224"/>
          <c:y val="0.23448412698412699"/>
          <c:w val="0.76063251753499905"/>
          <c:h val="0.53578802649668789"/>
        </c:manualLayout>
      </c:layout>
      <c:barChart>
        <c:barDir val="col"/>
        <c:grouping val="clustered"/>
        <c:varyColors val="0"/>
        <c:ser>
          <c:idx val="0"/>
          <c:order val="0"/>
          <c:tx>
            <c:strRef>
              <c:f>Лист1!$B$1</c:f>
              <c:strCache>
                <c:ptCount val="1"/>
                <c:pt idx="0">
                  <c:v>экономия</c:v>
                </c:pt>
              </c:strCache>
            </c:strRef>
          </c:tx>
          <c:spPr>
            <a:solidFill>
              <a:schemeClr val="accent1">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2015 год</c:v>
                </c:pt>
                <c:pt idx="1">
                  <c:v>2016 год</c:v>
                </c:pt>
              </c:strCache>
            </c:strRef>
          </c:cat>
          <c:val>
            <c:numRef>
              <c:f>Лист1!$B$2:$B$3</c:f>
              <c:numCache>
                <c:formatCode>#,##0.00</c:formatCode>
                <c:ptCount val="2"/>
                <c:pt idx="0">
                  <c:v>263</c:v>
                </c:pt>
                <c:pt idx="1">
                  <c:v>375</c:v>
                </c:pt>
              </c:numCache>
            </c:numRef>
          </c:val>
        </c:ser>
        <c:dLbls>
          <c:dLblPos val="outEnd"/>
          <c:showLegendKey val="0"/>
          <c:showVal val="1"/>
          <c:showCatName val="0"/>
          <c:showSerName val="0"/>
          <c:showPercent val="0"/>
          <c:showBubbleSize val="0"/>
        </c:dLbls>
        <c:gapWidth val="219"/>
        <c:overlap val="-27"/>
        <c:axId val="270729448"/>
        <c:axId val="270728664"/>
      </c:barChart>
      <c:catAx>
        <c:axId val="270729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70728664"/>
        <c:crosses val="autoZero"/>
        <c:auto val="1"/>
        <c:lblAlgn val="ctr"/>
        <c:lblOffset val="100"/>
        <c:noMultiLvlLbl val="0"/>
      </c:catAx>
      <c:valAx>
        <c:axId val="27072866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7072944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5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dTable>
      <c:spPr>
        <a:noFill/>
        <a:ln>
          <a:noFill/>
        </a:ln>
        <a:effectLst/>
      </c:spPr>
    </c:plotArea>
    <c:plotVisOnly val="1"/>
    <c:dispBlanksAs val="gap"/>
    <c:showDLblsOverMax val="0"/>
  </c:chart>
  <c:spPr>
    <a:no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aseline="0"/>
              <a:t>Количество размещенных закупок в 2015 г. и 2016 г.</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2015</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электронный аукцион</c:v>
                </c:pt>
                <c:pt idx="1">
                  <c:v>конкурс</c:v>
                </c:pt>
                <c:pt idx="2">
                  <c:v>запрос котировок</c:v>
                </c:pt>
                <c:pt idx="3">
                  <c:v>запрос предложений</c:v>
                </c:pt>
              </c:strCache>
            </c:strRef>
          </c:cat>
          <c:val>
            <c:numRef>
              <c:f>Лист1!$B$2:$B$5</c:f>
              <c:numCache>
                <c:formatCode>General</c:formatCode>
                <c:ptCount val="4"/>
                <c:pt idx="0">
                  <c:v>823</c:v>
                </c:pt>
                <c:pt idx="1">
                  <c:v>93</c:v>
                </c:pt>
                <c:pt idx="2">
                  <c:v>372</c:v>
                </c:pt>
                <c:pt idx="3">
                  <c:v>12</c:v>
                </c:pt>
              </c:numCache>
            </c:numRef>
          </c:val>
        </c:ser>
        <c:ser>
          <c:idx val="1"/>
          <c:order val="1"/>
          <c:tx>
            <c:strRef>
              <c:f>Лист1!$C$1</c:f>
              <c:strCache>
                <c:ptCount val="1"/>
                <c:pt idx="0">
                  <c:v>2016</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электронный аукцион</c:v>
                </c:pt>
                <c:pt idx="1">
                  <c:v>конкурс</c:v>
                </c:pt>
                <c:pt idx="2">
                  <c:v>запрос котировок</c:v>
                </c:pt>
                <c:pt idx="3">
                  <c:v>запрос предложений</c:v>
                </c:pt>
              </c:strCache>
            </c:strRef>
          </c:cat>
          <c:val>
            <c:numRef>
              <c:f>Лист1!$C$2:$C$5</c:f>
              <c:numCache>
                <c:formatCode>General</c:formatCode>
                <c:ptCount val="4"/>
                <c:pt idx="0">
                  <c:v>931</c:v>
                </c:pt>
                <c:pt idx="1">
                  <c:v>122</c:v>
                </c:pt>
                <c:pt idx="2">
                  <c:v>405</c:v>
                </c:pt>
                <c:pt idx="3">
                  <c:v>10</c:v>
                </c:pt>
              </c:numCache>
            </c:numRef>
          </c:val>
        </c:ser>
        <c:dLbls>
          <c:dLblPos val="outEnd"/>
          <c:showLegendKey val="0"/>
          <c:showVal val="1"/>
          <c:showCatName val="0"/>
          <c:showSerName val="0"/>
          <c:showPercent val="0"/>
          <c:showBubbleSize val="0"/>
        </c:dLbls>
        <c:gapWidth val="219"/>
        <c:overlap val="-27"/>
        <c:axId val="270293352"/>
        <c:axId val="270293744"/>
      </c:barChart>
      <c:catAx>
        <c:axId val="2702933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70293744"/>
        <c:crosses val="autoZero"/>
        <c:auto val="1"/>
        <c:lblAlgn val="ctr"/>
        <c:lblOffset val="100"/>
        <c:noMultiLvlLbl val="0"/>
      </c:catAx>
      <c:valAx>
        <c:axId val="2702937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7029335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Количество</a:t>
            </a:r>
            <a:r>
              <a:rPr lang="ru-RU" baseline="0"/>
              <a:t> расторгнутых контрактов</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spPr>
            <a:solidFill>
              <a:schemeClr val="accent1"/>
            </a:solidFill>
            <a:ln>
              <a:noFill/>
            </a:ln>
            <a:effectLst/>
          </c:spPr>
          <c:invertIfNegative val="0"/>
          <c:cat>
            <c:strRef>
              <c:f>Лист1!$A$3:$A$4</c:f>
              <c:strCache>
                <c:ptCount val="2"/>
                <c:pt idx="0">
                  <c:v>2015 год</c:v>
                </c:pt>
                <c:pt idx="1">
                  <c:v>2016 год</c:v>
                </c:pt>
              </c:strCache>
            </c:strRef>
          </c:cat>
          <c:val>
            <c:numRef>
              <c:f>Лист1!$B$3:$B$4</c:f>
              <c:numCache>
                <c:formatCode>General</c:formatCode>
                <c:ptCount val="2"/>
                <c:pt idx="0">
                  <c:v>218</c:v>
                </c:pt>
                <c:pt idx="1">
                  <c:v>229</c:v>
                </c:pt>
              </c:numCache>
            </c:numRef>
          </c:val>
        </c:ser>
        <c:dLbls>
          <c:showLegendKey val="0"/>
          <c:showVal val="0"/>
          <c:showCatName val="0"/>
          <c:showSerName val="0"/>
          <c:showPercent val="0"/>
          <c:showBubbleSize val="0"/>
        </c:dLbls>
        <c:gapWidth val="219"/>
        <c:overlap val="-27"/>
        <c:axId val="273680592"/>
        <c:axId val="273680984"/>
      </c:barChart>
      <c:catAx>
        <c:axId val="2736805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73680984"/>
        <c:crosses val="autoZero"/>
        <c:auto val="1"/>
        <c:lblAlgn val="ctr"/>
        <c:lblOffset val="100"/>
        <c:noMultiLvlLbl val="0"/>
      </c:catAx>
      <c:valAx>
        <c:axId val="2736809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7368059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B6C7F-7992-4737-9569-B73D1315D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1483</Words>
  <Characters>8456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В. Иванова</dc:creator>
  <cp:keywords/>
  <dc:description/>
  <cp:lastModifiedBy>Дмитрий Н. Неустроев</cp:lastModifiedBy>
  <cp:revision>2</cp:revision>
  <dcterms:created xsi:type="dcterms:W3CDTF">2017-01-20T03:18:00Z</dcterms:created>
  <dcterms:modified xsi:type="dcterms:W3CDTF">2017-01-20T03:18:00Z</dcterms:modified>
</cp:coreProperties>
</file>