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200276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200276" w:rsidRDefault="00D62BAB" w:rsidP="002002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0276">
        <w:rPr>
          <w:rFonts w:ascii="Times New Roman" w:hAnsi="Times New Roman" w:cs="Times New Roman"/>
          <w:sz w:val="24"/>
          <w:szCs w:val="24"/>
        </w:rPr>
        <w:t>о проведении</w:t>
      </w:r>
      <w:r w:rsidR="00C04359" w:rsidRPr="00200276">
        <w:rPr>
          <w:rFonts w:ascii="Times New Roman" w:hAnsi="Times New Roman" w:cs="Times New Roman"/>
          <w:sz w:val="24"/>
          <w:szCs w:val="24"/>
        </w:rPr>
        <w:t xml:space="preserve"> отбора получателей </w:t>
      </w:r>
      <w:r w:rsidR="00200276" w:rsidRPr="00200276">
        <w:rPr>
          <w:rFonts w:ascii="Times New Roman" w:hAnsi="Times New Roman" w:cs="Times New Roman"/>
          <w:sz w:val="24"/>
          <w:szCs w:val="24"/>
        </w:rPr>
        <w:t>из бюджета городского округа «город Якутск» субсидии на возмещение затрат, возникающих в связи с выполнением работ по санитарной очистке территории городского округа «город Якутск», в том числе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200276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200276" w:rsidRPr="00200276">
        <w:t>затрат, возникающих в связи с выполнением работ по санитарной очистке территории городского округа «город Якутск», в том числе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A91E85" w:rsidRPr="00A91E85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DF212C">
        <w:t>П</w:t>
      </w:r>
      <w:r w:rsidR="00C04359" w:rsidRPr="00DF212C">
        <w:t xml:space="preserve">остановлением Окружной администрации города Якутска </w:t>
      </w:r>
      <w:r w:rsidR="00200276" w:rsidRPr="00200276">
        <w:t>от 28 февраля 2014 года № 29п</w:t>
      </w:r>
      <w:r w:rsidR="00DF212C" w:rsidRPr="00200276">
        <w:t xml:space="preserve"> </w:t>
      </w:r>
      <w:r w:rsidR="00200276" w:rsidRPr="00200276"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территории городского округа «город Якутск», в том числе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3080B" w:rsidRPr="00200276">
        <w:t xml:space="preserve"> (далее – По</w:t>
      </w:r>
      <w:r w:rsidR="00200276" w:rsidRPr="00200276">
        <w:t>рядок</w:t>
      </w:r>
      <w:r w:rsidR="0053080B" w:rsidRPr="00200276">
        <w:t>)</w:t>
      </w:r>
      <w:r w:rsidRPr="00200276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DF212C">
        <w:t>1</w:t>
      </w:r>
      <w:r w:rsidR="00200276">
        <w:t>7</w:t>
      </w:r>
      <w:r w:rsidR="003A31FE" w:rsidRPr="003A31FE">
        <w:t xml:space="preserve"> </w:t>
      </w:r>
      <w:r w:rsidR="00200276">
        <w:t>марта</w:t>
      </w:r>
      <w:r w:rsidR="003A31FE" w:rsidRPr="003A31FE">
        <w:t xml:space="preserve"> 202</w:t>
      </w:r>
      <w:r w:rsidR="00F77A9C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200276">
        <w:t>2</w:t>
      </w:r>
      <w:r w:rsidR="00693A03">
        <w:t>3</w:t>
      </w:r>
      <w:bookmarkStart w:id="0" w:name="_GoBack"/>
      <w:bookmarkEnd w:id="0"/>
      <w:r w:rsidR="00F77A9C">
        <w:t xml:space="preserve"> </w:t>
      </w:r>
      <w:r w:rsidR="00200276">
        <w:t xml:space="preserve">марта </w:t>
      </w:r>
      <w:r w:rsidR="003A31FE" w:rsidRPr="003A31FE">
        <w:t>202</w:t>
      </w:r>
      <w:r w:rsidR="00F77A9C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</w:t>
      </w:r>
      <w:r w:rsidR="002D2F8F" w:rsidRPr="00200276">
        <w:t>из бюджета городского округа «город Якутск» субсидии на возмещение затрат, возникающих в связи с выполнением работ по санитарной очистке территории городского округа «город Якутск», в том числе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F77A9C" w:rsidRPr="00F77A9C">
        <w:t>.</w:t>
      </w:r>
      <w:r w:rsidR="00F77A9C">
        <w:rPr>
          <w:sz w:val="28"/>
          <w:szCs w:val="28"/>
        </w:rPr>
        <w:t xml:space="preserve"> 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F77A9C">
        <w:t>1</w:t>
      </w:r>
      <w:r w:rsidRPr="00974696">
        <w:t xml:space="preserve"> год</w:t>
      </w:r>
      <w:r w:rsidR="00986D7C" w:rsidRPr="00974696">
        <w:t>.</w:t>
      </w:r>
    </w:p>
    <w:p w:rsidR="001F3624" w:rsidRPr="00F77A9C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2D2F8F">
        <w:t>90</w:t>
      </w:r>
      <w:r w:rsidR="00F77A9C" w:rsidRPr="00F77A9C">
        <w:t> 000 000 (</w:t>
      </w:r>
      <w:r w:rsidR="002D2F8F">
        <w:t>девяносто</w:t>
      </w:r>
      <w:r w:rsidR="00F77A9C" w:rsidRPr="00F77A9C">
        <w:t xml:space="preserve"> миллионов) рублей 00 копеек</w:t>
      </w:r>
      <w:r w:rsidR="008B2FFE" w:rsidRPr="00F77A9C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lastRenderedPageBreak/>
        <w:t>Перечень документов, предоставляемых претендентом на получение субсидии.</w:t>
      </w:r>
    </w:p>
    <w:p w:rsidR="003029F3" w:rsidRDefault="002D2F8F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Прочие условия</w:t>
      </w:r>
      <w:r w:rsidR="005F54D6" w:rsidRPr="00974696">
        <w:t xml:space="preserve"> отбора получателей субсидии.</w:t>
      </w:r>
    </w:p>
    <w:p w:rsidR="002D2F8F" w:rsidRDefault="002D2F8F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2D2F8F" w:rsidRDefault="002D2F8F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F77A9C" w:rsidRDefault="00F77A9C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2F8F" w:rsidRPr="00147E2F" w:rsidTr="00AA7D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D2F8F" w:rsidRPr="00147E2F" w:rsidRDefault="002D2F8F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E2F">
              <w:rPr>
                <w:rFonts w:ascii="Times New Roman" w:hAnsi="Times New Roman" w:cs="Times New Roman"/>
                <w:sz w:val="20"/>
              </w:rPr>
              <w:t>На фирменном бланке с указанием наименования организации,</w:t>
            </w:r>
          </w:p>
          <w:p w:rsidR="002D2F8F" w:rsidRPr="00147E2F" w:rsidRDefault="002D2F8F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E2F">
              <w:rPr>
                <w:rFonts w:ascii="Times New Roman" w:hAnsi="Times New Roman" w:cs="Times New Roman"/>
                <w:sz w:val="20"/>
              </w:rPr>
              <w:t>адреса, телефона, с исходящей нумерацией</w:t>
            </w:r>
          </w:p>
        </w:tc>
      </w:tr>
      <w:tr w:rsidR="002D2F8F" w:rsidRPr="00147E2F" w:rsidTr="00AA7D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D2F8F" w:rsidRPr="00147E2F" w:rsidRDefault="002D2F8F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3"/>
            <w:bookmarkEnd w:id="1"/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</w:t>
            </w:r>
          </w:p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 в лице</w:t>
            </w:r>
          </w:p>
          <w:p w:rsidR="002D2F8F" w:rsidRPr="00147E2F" w:rsidRDefault="002D2F8F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</w:t>
            </w:r>
          </w:p>
          <w:p w:rsidR="002D2F8F" w:rsidRPr="00147E2F" w:rsidRDefault="002D2F8F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(Ф.И.О. руководителя юридического лица)</w:t>
            </w:r>
          </w:p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ознакомившись с Порядком о предоставлении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 бюджета городского округа «город Якутск»</w:t>
            </w: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просит предоставить субсидию в размере:</w:t>
            </w:r>
          </w:p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(_________________________________________________________) рублей.</w:t>
            </w:r>
          </w:p>
        </w:tc>
      </w:tr>
    </w:tbl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8F" w:rsidRPr="00147E2F" w:rsidRDefault="002D2F8F" w:rsidP="002D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Настоящим заявлением гарантируем достоверность представленных сведений.</w:t>
      </w:r>
    </w:p>
    <w:p w:rsidR="002D2F8F" w:rsidRPr="00147E2F" w:rsidRDefault="002D2F8F" w:rsidP="002D2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D2F8F" w:rsidRPr="00147E2F" w:rsidRDefault="002D2F8F" w:rsidP="002D2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2D2F8F" w:rsidRPr="00147E2F" w:rsidRDefault="002D2F8F" w:rsidP="002D2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2. _________________________________________</w:t>
      </w:r>
    </w:p>
    <w:p w:rsidR="002D2F8F" w:rsidRPr="00147E2F" w:rsidRDefault="002D2F8F" w:rsidP="002D2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3. _________________________________________ и т.д.</w:t>
      </w:r>
    </w:p>
    <w:p w:rsidR="002D2F8F" w:rsidRPr="00147E2F" w:rsidRDefault="002D2F8F" w:rsidP="002D2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2D2F8F" w:rsidRPr="00147E2F" w:rsidRDefault="002D2F8F" w:rsidP="002D2F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8F" w:rsidRPr="00147E2F" w:rsidRDefault="002D2F8F" w:rsidP="002D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2. Контактное лицо:</w:t>
      </w:r>
    </w:p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8F" w:rsidRPr="00147E2F" w:rsidRDefault="002D2F8F" w:rsidP="002D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3. Банковские реквизиты:</w:t>
      </w:r>
    </w:p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D2F8F" w:rsidRPr="00147E2F" w:rsidTr="00AA7DE1">
        <w:tc>
          <w:tcPr>
            <w:tcW w:w="4252" w:type="dxa"/>
            <w:vAlign w:val="bottom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8F" w:rsidRPr="00147E2F" w:rsidTr="00AA7DE1"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252" w:type="dxa"/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350"/>
      </w:tblGrid>
      <w:tr w:rsidR="002D2F8F" w:rsidRPr="00147E2F" w:rsidTr="00AA7DE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_________________________ / __________________ /</w:t>
            </w:r>
          </w:p>
          <w:p w:rsidR="002D2F8F" w:rsidRPr="00147E2F" w:rsidRDefault="002D2F8F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</w:tr>
      <w:tr w:rsidR="002D2F8F" w:rsidRPr="00147E2F" w:rsidTr="00AA7DE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D2F8F" w:rsidRPr="00147E2F" w:rsidRDefault="002D2F8F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________________________ / _____________________ /</w:t>
            </w:r>
          </w:p>
          <w:p w:rsidR="002D2F8F" w:rsidRPr="00147E2F" w:rsidRDefault="002D2F8F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</w:tr>
      <w:tr w:rsidR="002D2F8F" w:rsidRPr="00147E2F" w:rsidTr="00AA7DE1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D2F8F" w:rsidRPr="00147E2F" w:rsidRDefault="002D2F8F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</w:tr>
    </w:tbl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8F" w:rsidRPr="00147E2F" w:rsidRDefault="002D2F8F" w:rsidP="002D2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F8F" w:rsidRPr="00147E2F" w:rsidRDefault="002D2F8F" w:rsidP="002D2F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2D2F8F" w:rsidRDefault="002D2F8F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E25AB" w:rsidRPr="00147E2F" w:rsidRDefault="00FE25AB" w:rsidP="00FE2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 xml:space="preserve">- заявление на участие в отборе получателей субсидии, включающее в себя согласие на обработку персональных данных, по форме, утвержденной Федеральным </w:t>
      </w:r>
      <w:hyperlink r:id="rId5" w:history="1">
        <w:r w:rsidRPr="00147E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E2F">
        <w:rPr>
          <w:rFonts w:ascii="Times New Roman" w:hAnsi="Times New Roman" w:cs="Times New Roman"/>
          <w:sz w:val="24"/>
          <w:szCs w:val="24"/>
        </w:rPr>
        <w:t xml:space="preserve"> от 27.07.2006 года № 152-ФЗ «О персональных данных»;</w:t>
      </w:r>
    </w:p>
    <w:p w:rsidR="00FE25AB" w:rsidRPr="0049643D" w:rsidRDefault="00FE25AB" w:rsidP="00FE2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643D">
        <w:rPr>
          <w:rFonts w:ascii="Times New Roman" w:hAnsi="Times New Roman" w:cs="Times New Roman"/>
          <w:sz w:val="24"/>
          <w:szCs w:val="24"/>
        </w:rPr>
        <w:t xml:space="preserve">-  </w:t>
      </w:r>
      <w:r w:rsidRPr="0049643D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лиц, выданная налоговой инспекции не позднее шести месяцев (оригинал или нотариально заверенная копия)</w:t>
      </w:r>
      <w:r w:rsidRPr="0049643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:rsidR="00FE25AB" w:rsidRDefault="00FE25AB" w:rsidP="00FE2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7E2F">
        <w:rPr>
          <w:rFonts w:ascii="Times New Roman" w:hAnsi="Times New Roman" w:cs="Times New Roman"/>
          <w:sz w:val="24"/>
          <w:szCs w:val="24"/>
        </w:rPr>
        <w:t>- заверенная им копия производственно-финансового плана на те</w:t>
      </w:r>
      <w:r>
        <w:rPr>
          <w:rFonts w:ascii="Times New Roman" w:hAnsi="Times New Roman" w:cs="Times New Roman"/>
          <w:sz w:val="24"/>
          <w:szCs w:val="24"/>
        </w:rPr>
        <w:t>кущий финансовый год;</w:t>
      </w:r>
    </w:p>
    <w:p w:rsidR="00FE25AB" w:rsidRPr="00460CA7" w:rsidRDefault="00FE25AB" w:rsidP="00FE2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0C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документы, подтверждающие</w:t>
      </w:r>
      <w:r w:rsidRPr="00460CA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аличие</w:t>
      </w:r>
      <w:r w:rsidRPr="00460CA7">
        <w:rPr>
          <w:rFonts w:ascii="Times New Roman" w:hAnsi="Times New Roman" w:cs="Times New Roman"/>
          <w:sz w:val="24"/>
          <w:szCs w:val="24"/>
        </w:rPr>
        <w:t xml:space="preserve"> у претендента кадров, работающих на постоянной основе или по договорам ГПХ</w:t>
      </w:r>
      <w:r>
        <w:rPr>
          <w:rFonts w:ascii="Times New Roman" w:hAnsi="Times New Roman" w:cs="Times New Roman"/>
          <w:sz w:val="24"/>
          <w:szCs w:val="24"/>
        </w:rPr>
        <w:t xml:space="preserve"> (копия трудового договора и (или) копия трудовой книжки)</w:t>
      </w:r>
      <w:r w:rsidRPr="00460CA7">
        <w:rPr>
          <w:rFonts w:ascii="Times New Roman" w:hAnsi="Times New Roman" w:cs="Times New Roman"/>
          <w:sz w:val="24"/>
          <w:szCs w:val="24"/>
        </w:rPr>
        <w:t>;</w:t>
      </w:r>
    </w:p>
    <w:p w:rsidR="00FE25AB" w:rsidRDefault="00FE25AB" w:rsidP="00FE25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паспорта транспортного средства, </w:t>
      </w:r>
      <w:r w:rsidRPr="00962306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находящегося в собственности или на ином законном основании (лизинг, договор субаренды с приложением актов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306">
        <w:rPr>
          <w:rFonts w:ascii="Times New Roman" w:hAnsi="Times New Roman" w:cs="Times New Roman"/>
          <w:sz w:val="24"/>
          <w:szCs w:val="24"/>
          <w:shd w:val="clear" w:color="auto" w:fill="FFFFFF"/>
        </w:rPr>
        <w:t>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5AB" w:rsidRDefault="00FE25AB" w:rsidP="00FE25AB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E139C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наличие опыта </w:t>
      </w:r>
      <w:r>
        <w:rPr>
          <w:rFonts w:ascii="Times New Roman" w:hAnsi="Times New Roman" w:cs="Times New Roman"/>
          <w:bCs/>
          <w:sz w:val="24"/>
          <w:szCs w:val="24"/>
        </w:rPr>
        <w:t>по аналогичному виду работ</w:t>
      </w:r>
      <w:r w:rsidRPr="00655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городского округа «город Якутск» </w:t>
      </w:r>
      <w:r w:rsidRPr="00FE139C">
        <w:rPr>
          <w:rFonts w:ascii="Times New Roman" w:hAnsi="Times New Roman" w:cs="Times New Roman"/>
          <w:bCs/>
          <w:sz w:val="24"/>
          <w:szCs w:val="24"/>
        </w:rPr>
        <w:t>(заверенные печатью предприятия копии договоров, или копии соглашений, или копии контрактов, копии актов выполненных работ по аналогичным работам);</w:t>
      </w:r>
    </w:p>
    <w:p w:rsidR="00FE25AB" w:rsidRPr="00DB5EE1" w:rsidRDefault="00FE25AB" w:rsidP="00FE25AB">
      <w:pPr>
        <w:ind w:firstLine="708"/>
        <w:jc w:val="both"/>
        <w:rPr>
          <w:bCs/>
        </w:rPr>
      </w:pPr>
      <w:r>
        <w:rPr>
          <w:bCs/>
        </w:rPr>
        <w:t>-</w:t>
      </w:r>
      <w:r w:rsidRPr="00DB5EE1">
        <w:t xml:space="preserve"> </w:t>
      </w:r>
      <w:r w:rsidRPr="00DB5EE1">
        <w:rPr>
          <w:bCs/>
        </w:rPr>
        <w:t xml:space="preserve">копии лицензии на транспортирование </w:t>
      </w:r>
      <w:r w:rsidRPr="00DB5EE1">
        <w:t xml:space="preserve">отходов </w:t>
      </w:r>
      <w:r w:rsidRPr="00DB5EE1">
        <w:rPr>
          <w:lang w:val="en-US"/>
        </w:rPr>
        <w:t>I</w:t>
      </w:r>
      <w:r w:rsidRPr="00DB5EE1">
        <w:t>-</w:t>
      </w:r>
      <w:r w:rsidRPr="00DB5EE1">
        <w:rPr>
          <w:lang w:val="en-US"/>
        </w:rPr>
        <w:t>IV</w:t>
      </w:r>
      <w:r w:rsidRPr="00DB5EE1">
        <w:t xml:space="preserve"> классов опасности</w:t>
      </w:r>
      <w:r w:rsidRPr="00DB5EE1">
        <w:rPr>
          <w:bCs/>
        </w:rPr>
        <w:t>;</w:t>
      </w:r>
    </w:p>
    <w:p w:rsidR="00FE25AB" w:rsidRPr="00DB5EE1" w:rsidRDefault="00FE25AB" w:rsidP="00FE25AB">
      <w:pPr>
        <w:ind w:firstLine="708"/>
        <w:jc w:val="both"/>
        <w:rPr>
          <w:bCs/>
        </w:rPr>
      </w:pPr>
      <w:r>
        <w:rPr>
          <w:bCs/>
        </w:rPr>
        <w:t>-</w:t>
      </w:r>
      <w:r w:rsidRPr="00DB5EE1">
        <w:rPr>
          <w:bCs/>
        </w:rPr>
        <w:t xml:space="preserve"> копии правоустанавливающих документов на объект размещения отходов I-IV класса опасности, занесенного в Государственный реестр объектов размещения отходов (ГРОРО) или заключенных договоров с объектом размещения отходов, занесенного в Государственный реестр объе</w:t>
      </w:r>
      <w:r>
        <w:rPr>
          <w:bCs/>
        </w:rPr>
        <w:t>ктов размещения отходов (ГРОРО).</w:t>
      </w:r>
    </w:p>
    <w:p w:rsidR="00DF212C" w:rsidRPr="00DF212C" w:rsidRDefault="00DF212C" w:rsidP="00DF212C">
      <w:pPr>
        <w:ind w:firstLine="708"/>
        <w:jc w:val="both"/>
        <w:rPr>
          <w:bCs/>
        </w:rPr>
      </w:pPr>
      <w:r w:rsidRPr="00DF212C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F212C" w:rsidRDefault="00DF212C" w:rsidP="00DF212C">
      <w:pPr>
        <w:autoSpaceDE w:val="0"/>
        <w:autoSpaceDN w:val="0"/>
        <w:adjustRightInd w:val="0"/>
        <w:ind w:firstLine="540"/>
        <w:jc w:val="both"/>
      </w:pPr>
      <w:r w:rsidRPr="00DF212C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  <w:r>
        <w:rPr>
          <w:bCs/>
        </w:rPr>
        <w:t>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FE25AB" w:rsidRDefault="00FE25AB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DF212C" w:rsidRDefault="00DF212C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FE25AB" w:rsidRPr="007A5F0B" w:rsidRDefault="00FE25AB" w:rsidP="00FE25AB">
      <w:pPr>
        <w:ind w:firstLine="708"/>
        <w:jc w:val="both"/>
      </w:pPr>
      <w:r w:rsidRPr="007A5F0B">
        <w:t>Категориями и (или) критериями отбора получателей субсидии являются:</w:t>
      </w:r>
    </w:p>
    <w:p w:rsidR="00FE25AB" w:rsidRPr="00147E2F" w:rsidRDefault="00FE25AB" w:rsidP="00FE25AB">
      <w:pPr>
        <w:ind w:firstLine="709"/>
        <w:jc w:val="both"/>
      </w:pPr>
      <w:r w:rsidRPr="00147E2F">
        <w:t xml:space="preserve">а) осуществление деятельности </w:t>
      </w:r>
      <w:r w:rsidRPr="00147E2F">
        <w:rPr>
          <w:szCs w:val="28"/>
        </w:rPr>
        <w:t>по санитарной очистке территорий городского округа «город Якутск»</w:t>
      </w:r>
      <w:r w:rsidRPr="00147E2F">
        <w:t>;</w:t>
      </w:r>
    </w:p>
    <w:p w:rsidR="00FE25AB" w:rsidRPr="00147E2F" w:rsidRDefault="00FE25AB" w:rsidP="00FE25AB">
      <w:pPr>
        <w:ind w:firstLine="709"/>
        <w:jc w:val="both"/>
      </w:pPr>
      <w:r w:rsidRPr="00147E2F"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соответствующий финансовый год;</w:t>
      </w:r>
    </w:p>
    <w:p w:rsidR="00FE25AB" w:rsidRPr="00147E2F" w:rsidRDefault="00FE25AB" w:rsidP="00FE25AB">
      <w:pPr>
        <w:ind w:firstLine="709"/>
        <w:jc w:val="both"/>
      </w:pPr>
      <w:r w:rsidRPr="00147E2F">
        <w:t>в) наличие документов, подтверждающих факт выполненных работ;</w:t>
      </w:r>
    </w:p>
    <w:p w:rsidR="00FE25AB" w:rsidRPr="00147E2F" w:rsidRDefault="00FE25AB" w:rsidP="00FE25AB">
      <w:pPr>
        <w:ind w:firstLine="709"/>
        <w:jc w:val="both"/>
      </w:pPr>
      <w:r w:rsidRPr="00147E2F">
        <w:t>г) наличие штатной численности работников;</w:t>
      </w:r>
    </w:p>
    <w:p w:rsidR="00FE25AB" w:rsidRPr="00147E2F" w:rsidRDefault="00FE25AB" w:rsidP="00FE25AB">
      <w:pPr>
        <w:ind w:firstLine="709"/>
        <w:jc w:val="both"/>
      </w:pPr>
      <w:r>
        <w:t>д</w:t>
      </w:r>
      <w:r w:rsidRPr="00147E2F">
        <w:t>) наличие специализированной техники для вывоза отходов.</w:t>
      </w:r>
    </w:p>
    <w:p w:rsidR="005F54D6" w:rsidRPr="00392513" w:rsidRDefault="005F54D6" w:rsidP="00CE0D52">
      <w:pPr>
        <w:ind w:firstLine="709"/>
        <w:jc w:val="both"/>
        <w:rPr>
          <w:bCs/>
        </w:rPr>
      </w:pPr>
    </w:p>
    <w:p w:rsidR="00CE0D52" w:rsidRPr="007A5F0B" w:rsidRDefault="00CE0D52" w:rsidP="00CE0D52">
      <w:pPr>
        <w:ind w:firstLine="709"/>
        <w:jc w:val="both"/>
      </w:pPr>
      <w:r w:rsidRPr="007A5F0B">
        <w:t xml:space="preserve">Критерии </w:t>
      </w:r>
      <w:r w:rsidR="00FE25AB" w:rsidRPr="007A5F0B">
        <w:t xml:space="preserve">отбора </w:t>
      </w:r>
      <w:r w:rsidRPr="007A5F0B">
        <w:t xml:space="preserve">получателей субсидии: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6962"/>
        <w:gridCol w:w="1724"/>
      </w:tblGrid>
      <w:tr w:rsidR="00FE25AB" w:rsidRPr="00147E2F" w:rsidTr="00AA7DE1">
        <w:trPr>
          <w:trHeight w:val="548"/>
        </w:trPr>
        <w:tc>
          <w:tcPr>
            <w:tcW w:w="554" w:type="dxa"/>
            <w:vAlign w:val="center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62" w:type="dxa"/>
            <w:vAlign w:val="center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24" w:type="dxa"/>
            <w:vAlign w:val="center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E25AB" w:rsidRPr="00147E2F" w:rsidTr="00AA7DE1">
        <w:trPr>
          <w:trHeight w:val="1098"/>
        </w:trPr>
        <w:tc>
          <w:tcPr>
            <w:tcW w:w="554" w:type="dxa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FE25AB" w:rsidRPr="00147E2F" w:rsidRDefault="00FE25AB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по санитарной очистке территории городского округа «город Якутск».</w:t>
            </w:r>
          </w:p>
          <w:p w:rsidR="00FE25AB" w:rsidRPr="00147E2F" w:rsidRDefault="00FE25AB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E25AB" w:rsidRPr="00147E2F" w:rsidRDefault="00FE25AB" w:rsidP="00AA7D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4" w:type="dxa"/>
            <w:vAlign w:val="bottom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AB" w:rsidRPr="00147E2F" w:rsidTr="00AA7DE1">
        <w:trPr>
          <w:trHeight w:val="822"/>
        </w:trPr>
        <w:tc>
          <w:tcPr>
            <w:tcW w:w="554" w:type="dxa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техники для вывоза отходов.</w:t>
            </w:r>
          </w:p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4" w:type="dxa"/>
            <w:vAlign w:val="bottom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AB" w:rsidRPr="00147E2F" w:rsidTr="00AA7DE1">
        <w:trPr>
          <w:trHeight w:val="273"/>
        </w:trPr>
        <w:tc>
          <w:tcPr>
            <w:tcW w:w="555" w:type="dxa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1" w:type="dxa"/>
          </w:tcPr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Наличие лицензии на работу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4" w:type="dxa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AB" w:rsidRPr="00147E2F" w:rsidTr="00AA7DE1">
        <w:trPr>
          <w:trHeight w:val="273"/>
        </w:trPr>
        <w:tc>
          <w:tcPr>
            <w:tcW w:w="555" w:type="dxa"/>
          </w:tcPr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</w:tcPr>
          <w:p w:rsidR="00FE25AB" w:rsidRPr="00147E2F" w:rsidRDefault="00FE25AB" w:rsidP="00AA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24" w:type="dxa"/>
          </w:tcPr>
          <w:p w:rsidR="00FE25AB" w:rsidRPr="00147E2F" w:rsidRDefault="00FE25AB" w:rsidP="00AA7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7A5F0B" w:rsidRPr="00147E2F" w:rsidRDefault="007A5F0B" w:rsidP="007A5F0B">
      <w:pPr>
        <w:ind w:firstLine="709"/>
        <w:jc w:val="both"/>
      </w:pPr>
      <w:r w:rsidRPr="007A5F0B">
        <w:t>Требования к участникам отбора,</w:t>
      </w:r>
      <w:r w:rsidRPr="00147E2F">
        <w:t xml:space="preserve"> которым должен соответствовать участник отбора на 1-ое число месяца, предшествующего месяцу, в котором планируется проведение отбора:</w:t>
      </w:r>
    </w:p>
    <w:p w:rsidR="007A5F0B" w:rsidRPr="00147E2F" w:rsidRDefault="007A5F0B" w:rsidP="007A5F0B">
      <w:pPr>
        <w:ind w:firstLine="709"/>
        <w:jc w:val="both"/>
      </w:pPr>
      <w:r w:rsidRPr="00147E2F">
        <w:t>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A5F0B" w:rsidRPr="00147E2F" w:rsidRDefault="007A5F0B" w:rsidP="007A5F0B">
      <w:pPr>
        <w:ind w:firstLine="709"/>
        <w:jc w:val="both"/>
      </w:pPr>
      <w:r w:rsidRPr="00147E2F">
        <w:t>б)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A5F0B" w:rsidRPr="00147E2F" w:rsidRDefault="007A5F0B" w:rsidP="007A5F0B">
      <w:pPr>
        <w:ind w:firstLine="709"/>
        <w:jc w:val="both"/>
      </w:pPr>
      <w:r w:rsidRPr="00147E2F">
        <w:t>в) участники отбора не должны получать средства из бюджета городского округа «город Якутск» на основании иных муниципальных правовых актов на цели, установленные настоящим Порядком.</w:t>
      </w:r>
    </w:p>
    <w:p w:rsidR="007A5F0B" w:rsidRPr="00147E2F" w:rsidRDefault="007A5F0B" w:rsidP="007A5F0B">
      <w:pPr>
        <w:ind w:firstLine="709"/>
        <w:jc w:val="both"/>
      </w:pPr>
      <w:r w:rsidRPr="00147E2F">
        <w:t>г) у участника отбора должна отсутствовать просроченная задолженность по возврату в бюджет городского округа «город Якутск», из которого планируется предоставление субсидии.</w:t>
      </w:r>
    </w:p>
    <w:p w:rsidR="0053080B" w:rsidRPr="00974696" w:rsidRDefault="0053080B" w:rsidP="00F65D0E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4460"/>
    <w:multiLevelType w:val="multilevel"/>
    <w:tmpl w:val="BA04AA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00276"/>
    <w:rsid w:val="00292D85"/>
    <w:rsid w:val="002B0A9B"/>
    <w:rsid w:val="002D2F8F"/>
    <w:rsid w:val="002E2AEB"/>
    <w:rsid w:val="003029F3"/>
    <w:rsid w:val="0030700E"/>
    <w:rsid w:val="003469AA"/>
    <w:rsid w:val="0037795C"/>
    <w:rsid w:val="00392513"/>
    <w:rsid w:val="003A31FE"/>
    <w:rsid w:val="003D0584"/>
    <w:rsid w:val="0051259D"/>
    <w:rsid w:val="0053080B"/>
    <w:rsid w:val="005C1A37"/>
    <w:rsid w:val="005F54D6"/>
    <w:rsid w:val="00627681"/>
    <w:rsid w:val="00693A03"/>
    <w:rsid w:val="006E1425"/>
    <w:rsid w:val="006E14A4"/>
    <w:rsid w:val="007601FF"/>
    <w:rsid w:val="00767561"/>
    <w:rsid w:val="007A5F0B"/>
    <w:rsid w:val="008B2FFE"/>
    <w:rsid w:val="00974696"/>
    <w:rsid w:val="00986D7C"/>
    <w:rsid w:val="009B3FBD"/>
    <w:rsid w:val="009E6DA5"/>
    <w:rsid w:val="00A341B3"/>
    <w:rsid w:val="00A812C8"/>
    <w:rsid w:val="00A91E85"/>
    <w:rsid w:val="00B12087"/>
    <w:rsid w:val="00B13F42"/>
    <w:rsid w:val="00B50175"/>
    <w:rsid w:val="00BA3FAE"/>
    <w:rsid w:val="00C04359"/>
    <w:rsid w:val="00C15A47"/>
    <w:rsid w:val="00C30D22"/>
    <w:rsid w:val="00C378D9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F212C"/>
    <w:rsid w:val="00DF2EAE"/>
    <w:rsid w:val="00E422B5"/>
    <w:rsid w:val="00E66E06"/>
    <w:rsid w:val="00ED6E86"/>
    <w:rsid w:val="00F35BE5"/>
    <w:rsid w:val="00F65D0E"/>
    <w:rsid w:val="00F755EF"/>
    <w:rsid w:val="00F77A9C"/>
    <w:rsid w:val="00FC656A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paragraph" w:customStyle="1" w:styleId="ConsPlusTitle">
    <w:name w:val="ConsPlusTitle"/>
    <w:rsid w:val="00200276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 w:val="22"/>
      <w:lang w:val="ru-RU" w:eastAsia="ru-RU" w:bidi="ar-SA"/>
    </w:rPr>
  </w:style>
  <w:style w:type="paragraph" w:customStyle="1" w:styleId="ConsPlusNormal">
    <w:name w:val="ConsPlusNormal"/>
    <w:rsid w:val="002D2F8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7521EA361ED501041093C9EC260606EBF0D554FA1A11A6CD2220F817507A9391660E57BFBB6C990476465692Y4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3</cp:revision>
  <dcterms:created xsi:type="dcterms:W3CDTF">2021-03-15T06:28:00Z</dcterms:created>
  <dcterms:modified xsi:type="dcterms:W3CDTF">2021-03-15T09:27:00Z</dcterms:modified>
</cp:coreProperties>
</file>