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91" w:type="dxa"/>
        <w:tblInd w:w="-856" w:type="dxa"/>
        <w:tblLook w:val="04A0" w:firstRow="1" w:lastRow="0" w:firstColumn="1" w:lastColumn="0" w:noHBand="0" w:noVBand="1"/>
      </w:tblPr>
      <w:tblGrid>
        <w:gridCol w:w="1247"/>
        <w:gridCol w:w="3828"/>
        <w:gridCol w:w="5016"/>
      </w:tblGrid>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t>п/н</w:t>
            </w:r>
          </w:p>
        </w:tc>
        <w:tc>
          <w:tcPr>
            <w:tcW w:w="3828" w:type="dxa"/>
          </w:tcPr>
          <w:p w:rsidR="00772D54" w:rsidRPr="00947B0C" w:rsidRDefault="00772D54" w:rsidP="0099705C">
            <w:pPr>
              <w:pStyle w:val="ConsPlusNonformat"/>
              <w:contextualSpacing/>
              <w:jc w:val="center"/>
              <w:rPr>
                <w:rFonts w:ascii="Times New Roman" w:hAnsi="Times New Roman" w:cs="Times New Roman"/>
              </w:rPr>
            </w:pPr>
            <w:r w:rsidRPr="00947B0C">
              <w:rPr>
                <w:rFonts w:ascii="Times New Roman" w:hAnsi="Times New Roman" w:cs="Times New Roman"/>
              </w:rPr>
              <w:t>Наименование пункта</w:t>
            </w:r>
          </w:p>
        </w:tc>
        <w:tc>
          <w:tcPr>
            <w:tcW w:w="5016"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t>Пояснение</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t>1</w:t>
            </w:r>
          </w:p>
        </w:tc>
        <w:tc>
          <w:tcPr>
            <w:tcW w:w="3828" w:type="dxa"/>
          </w:tcPr>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Состояние общего имущества собственников помещений в многоквартирном доме, являющегося объектом конкурса</w:t>
            </w:r>
          </w:p>
        </w:tc>
        <w:tc>
          <w:tcPr>
            <w:tcW w:w="5016" w:type="dxa"/>
          </w:tcPr>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Согласно Приложению № 1 к настоящей документации</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t>2</w:t>
            </w:r>
          </w:p>
        </w:tc>
        <w:tc>
          <w:tcPr>
            <w:tcW w:w="3828"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Реквизиты банковского счета для перечисления средств в качестве обеспечения заявки на участие в конкурсе</w:t>
            </w:r>
          </w:p>
        </w:tc>
        <w:tc>
          <w:tcPr>
            <w:tcW w:w="5016" w:type="dxa"/>
          </w:tcPr>
          <w:p w:rsidR="00772D54" w:rsidRPr="00947B0C" w:rsidRDefault="00772D54" w:rsidP="0099705C">
            <w:pPr>
              <w:spacing w:after="0" w:line="240" w:lineRule="auto"/>
              <w:contextualSpacing/>
              <w:rPr>
                <w:rFonts w:ascii="Times New Roman" w:hAnsi="Times New Roman" w:cs="Times New Roman"/>
                <w:sz w:val="20"/>
                <w:szCs w:val="20"/>
              </w:rPr>
            </w:pPr>
            <w:r w:rsidRPr="00947B0C">
              <w:rPr>
                <w:rFonts w:ascii="Times New Roman" w:hAnsi="Times New Roman" w:cs="Times New Roman"/>
                <w:sz w:val="20"/>
                <w:szCs w:val="20"/>
              </w:rPr>
              <w:t>Размер обеспечения заявки на участие в конкурсе:</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на объекты конкурса которые объе</w:t>
            </w:r>
            <w:r w:rsidR="00DE1F03">
              <w:rPr>
                <w:rFonts w:ascii="Times New Roman" w:hAnsi="Times New Roman" w:cs="Times New Roman"/>
                <w:sz w:val="20"/>
                <w:szCs w:val="20"/>
              </w:rPr>
              <w:t>динены в один лот (Приложение № 5</w:t>
            </w:r>
            <w:r w:rsidRPr="00947B0C">
              <w:rPr>
                <w:rFonts w:ascii="Times New Roman" w:hAnsi="Times New Roman" w:cs="Times New Roman"/>
                <w:sz w:val="20"/>
                <w:szCs w:val="20"/>
              </w:rPr>
              <w:t xml:space="preserve"> к конкурсной документации).</w:t>
            </w:r>
          </w:p>
          <w:p w:rsidR="00772D54" w:rsidRPr="00947B0C" w:rsidRDefault="00772D54" w:rsidP="0099705C">
            <w:pPr>
              <w:pStyle w:val="ConsPlusNormal"/>
              <w:contextualSpacing/>
              <w:jc w:val="both"/>
              <w:rPr>
                <w:rFonts w:ascii="Times New Roman" w:hAnsi="Times New Roman" w:cs="Times New Roman"/>
              </w:rPr>
            </w:pPr>
            <w:r w:rsidRPr="00947B0C">
              <w:rPr>
                <w:rFonts w:ascii="Times New Roman" w:hAnsi="Times New Roman" w:cs="Times New Roman"/>
              </w:rPr>
              <w:t xml:space="preserve">Реквизиты для перечисления обеспечения заявок на участие в конкурсе: Реквизиты счета: </w:t>
            </w:r>
          </w:p>
          <w:p w:rsidR="00772D54" w:rsidRPr="00947B0C" w:rsidRDefault="00772D54" w:rsidP="0099705C">
            <w:pPr>
              <w:tabs>
                <w:tab w:val="left" w:pos="1380"/>
              </w:tabs>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color w:val="000000"/>
                <w:sz w:val="20"/>
                <w:szCs w:val="20"/>
              </w:rPr>
              <w:t xml:space="preserve">Получатель платежа: </w:t>
            </w:r>
            <w:r w:rsidRPr="00947B0C">
              <w:rPr>
                <w:rFonts w:ascii="Times New Roman" w:eastAsia="Times New Roman" w:hAnsi="Times New Roman" w:cs="Times New Roman"/>
                <w:sz w:val="20"/>
                <w:szCs w:val="20"/>
              </w:rPr>
              <w:t>Департамент финансов г. Якутска (Управление Администрации микрорайона Марха» Окружной администрации «города Якутска» л/с 5567305333)</w:t>
            </w:r>
            <w:r w:rsidRPr="00947B0C">
              <w:rPr>
                <w:rFonts w:ascii="Times New Roman" w:hAnsi="Times New Roman" w:cs="Times New Roman"/>
                <w:sz w:val="20"/>
                <w:szCs w:val="20"/>
              </w:rPr>
              <w:t>;</w:t>
            </w:r>
          </w:p>
          <w:p w:rsidR="00772D54" w:rsidRPr="00947B0C" w:rsidRDefault="00772D54" w:rsidP="0099705C">
            <w:pPr>
              <w:tabs>
                <w:tab w:val="left" w:pos="1380"/>
              </w:tabs>
              <w:spacing w:after="0" w:line="240" w:lineRule="auto"/>
              <w:contextualSpacing/>
              <w:jc w:val="both"/>
              <w:rPr>
                <w:rFonts w:ascii="Times New Roman" w:eastAsia="Times New Roman" w:hAnsi="Times New Roman" w:cs="Times New Roman"/>
                <w:sz w:val="20"/>
                <w:szCs w:val="20"/>
              </w:rPr>
            </w:pPr>
            <w:r w:rsidRPr="00947B0C">
              <w:rPr>
                <w:rFonts w:ascii="Times New Roman" w:eastAsia="Times New Roman" w:hAnsi="Times New Roman" w:cs="Times New Roman"/>
                <w:sz w:val="20"/>
                <w:szCs w:val="20"/>
              </w:rPr>
              <w:t>ИНН 1435232827</w:t>
            </w:r>
            <w:proofErr w:type="gramStart"/>
            <w:r w:rsidRPr="00947B0C">
              <w:rPr>
                <w:rFonts w:ascii="Times New Roman" w:hAnsi="Times New Roman" w:cs="Times New Roman"/>
                <w:sz w:val="20"/>
                <w:szCs w:val="20"/>
              </w:rPr>
              <w:t>/,</w:t>
            </w:r>
            <w:r w:rsidRPr="00947B0C">
              <w:rPr>
                <w:rFonts w:ascii="Times New Roman" w:eastAsia="Times New Roman" w:hAnsi="Times New Roman" w:cs="Times New Roman"/>
                <w:sz w:val="20"/>
                <w:szCs w:val="20"/>
              </w:rPr>
              <w:t>КПП</w:t>
            </w:r>
            <w:proofErr w:type="gramEnd"/>
            <w:r w:rsidRPr="00947B0C">
              <w:rPr>
                <w:rFonts w:ascii="Times New Roman" w:eastAsia="Times New Roman" w:hAnsi="Times New Roman" w:cs="Times New Roman"/>
                <w:sz w:val="20"/>
                <w:szCs w:val="20"/>
              </w:rPr>
              <w:t xml:space="preserve"> 143501001</w:t>
            </w:r>
            <w:r w:rsidRPr="00947B0C">
              <w:rPr>
                <w:rFonts w:ascii="Times New Roman" w:hAnsi="Times New Roman" w:cs="Times New Roman"/>
                <w:sz w:val="20"/>
                <w:szCs w:val="20"/>
              </w:rPr>
              <w:t>;</w:t>
            </w:r>
          </w:p>
          <w:p w:rsidR="00772D54" w:rsidRPr="00947B0C" w:rsidRDefault="00772D54" w:rsidP="0099705C">
            <w:pPr>
              <w:tabs>
                <w:tab w:val="left" w:pos="1380"/>
              </w:tabs>
              <w:spacing w:after="0" w:line="240" w:lineRule="auto"/>
              <w:contextualSpacing/>
              <w:jc w:val="both"/>
              <w:rPr>
                <w:rFonts w:ascii="Times New Roman" w:eastAsia="Times New Roman" w:hAnsi="Times New Roman" w:cs="Times New Roman"/>
                <w:sz w:val="20"/>
                <w:szCs w:val="20"/>
              </w:rPr>
            </w:pPr>
            <w:r w:rsidRPr="00947B0C">
              <w:rPr>
                <w:rFonts w:ascii="Times New Roman" w:eastAsia="Times New Roman" w:hAnsi="Times New Roman" w:cs="Times New Roman"/>
                <w:sz w:val="20"/>
                <w:szCs w:val="20"/>
              </w:rPr>
              <w:t>ОГРН 1101435008828</w:t>
            </w:r>
            <w:r w:rsidRPr="00947B0C">
              <w:rPr>
                <w:rFonts w:ascii="Times New Roman" w:hAnsi="Times New Roman" w:cs="Times New Roman"/>
                <w:sz w:val="20"/>
                <w:szCs w:val="20"/>
              </w:rPr>
              <w:t>;</w:t>
            </w:r>
          </w:p>
          <w:p w:rsidR="00772D54" w:rsidRPr="00947B0C" w:rsidRDefault="00772D54" w:rsidP="0099705C">
            <w:pPr>
              <w:tabs>
                <w:tab w:val="left" w:pos="1380"/>
              </w:tabs>
              <w:spacing w:after="0" w:line="240" w:lineRule="auto"/>
              <w:contextualSpacing/>
              <w:jc w:val="both"/>
              <w:rPr>
                <w:rFonts w:ascii="Times New Roman" w:eastAsia="Times New Roman" w:hAnsi="Times New Roman" w:cs="Times New Roman"/>
                <w:sz w:val="20"/>
                <w:szCs w:val="20"/>
              </w:rPr>
            </w:pPr>
            <w:r w:rsidRPr="00947B0C">
              <w:rPr>
                <w:rFonts w:ascii="Times New Roman" w:eastAsia="Times New Roman" w:hAnsi="Times New Roman" w:cs="Times New Roman"/>
                <w:sz w:val="20"/>
                <w:szCs w:val="20"/>
              </w:rPr>
              <w:t xml:space="preserve">Адрес: 677901, </w:t>
            </w:r>
            <w:proofErr w:type="spellStart"/>
            <w:r w:rsidRPr="00947B0C">
              <w:rPr>
                <w:rFonts w:ascii="Times New Roman" w:eastAsia="Times New Roman" w:hAnsi="Times New Roman" w:cs="Times New Roman"/>
                <w:sz w:val="20"/>
                <w:szCs w:val="20"/>
              </w:rPr>
              <w:t>мкр.Марха</w:t>
            </w:r>
            <w:proofErr w:type="spellEnd"/>
            <w:r w:rsidRPr="00947B0C">
              <w:rPr>
                <w:rFonts w:ascii="Times New Roman" w:eastAsia="Times New Roman" w:hAnsi="Times New Roman" w:cs="Times New Roman"/>
                <w:sz w:val="20"/>
                <w:szCs w:val="20"/>
              </w:rPr>
              <w:t xml:space="preserve">, </w:t>
            </w:r>
            <w:proofErr w:type="spellStart"/>
            <w:r w:rsidRPr="00947B0C">
              <w:rPr>
                <w:rFonts w:ascii="Times New Roman" w:eastAsia="Times New Roman" w:hAnsi="Times New Roman" w:cs="Times New Roman"/>
                <w:sz w:val="20"/>
                <w:szCs w:val="20"/>
              </w:rPr>
              <w:t>ул.О.Кошевого</w:t>
            </w:r>
            <w:proofErr w:type="spellEnd"/>
            <w:r w:rsidRPr="00947B0C">
              <w:rPr>
                <w:rFonts w:ascii="Times New Roman" w:eastAsia="Times New Roman" w:hAnsi="Times New Roman" w:cs="Times New Roman"/>
                <w:sz w:val="20"/>
                <w:szCs w:val="20"/>
              </w:rPr>
              <w:t>, 67а</w:t>
            </w:r>
            <w:r w:rsidRPr="00947B0C">
              <w:rPr>
                <w:rFonts w:ascii="Times New Roman" w:hAnsi="Times New Roman" w:cs="Times New Roman"/>
                <w:sz w:val="20"/>
                <w:szCs w:val="20"/>
              </w:rPr>
              <w:t>;</w:t>
            </w:r>
          </w:p>
          <w:p w:rsidR="00772D54" w:rsidRPr="00947B0C" w:rsidRDefault="00772D54" w:rsidP="0099705C">
            <w:pPr>
              <w:tabs>
                <w:tab w:val="left" w:pos="1380"/>
              </w:tabs>
              <w:spacing w:after="0" w:line="240" w:lineRule="auto"/>
              <w:contextualSpacing/>
              <w:jc w:val="both"/>
              <w:rPr>
                <w:rFonts w:ascii="Times New Roman" w:eastAsia="Times New Roman" w:hAnsi="Times New Roman" w:cs="Times New Roman"/>
                <w:sz w:val="20"/>
                <w:szCs w:val="20"/>
              </w:rPr>
            </w:pPr>
            <w:r w:rsidRPr="00947B0C">
              <w:rPr>
                <w:rFonts w:ascii="Times New Roman" w:eastAsia="Times New Roman" w:hAnsi="Times New Roman" w:cs="Times New Roman"/>
                <w:sz w:val="20"/>
                <w:szCs w:val="20"/>
              </w:rPr>
              <w:t>р/с 403 028 104 980 550 000 02</w:t>
            </w:r>
            <w:r w:rsidRPr="00947B0C">
              <w:rPr>
                <w:rFonts w:ascii="Times New Roman" w:hAnsi="Times New Roman" w:cs="Times New Roman"/>
                <w:sz w:val="20"/>
                <w:szCs w:val="20"/>
              </w:rPr>
              <w:t>;</w:t>
            </w:r>
          </w:p>
          <w:p w:rsidR="00772D54" w:rsidRPr="00947B0C" w:rsidRDefault="00772D54" w:rsidP="0099705C">
            <w:pPr>
              <w:tabs>
                <w:tab w:val="left" w:pos="1380"/>
              </w:tabs>
              <w:spacing w:after="0" w:line="240" w:lineRule="auto"/>
              <w:contextualSpacing/>
              <w:jc w:val="both"/>
              <w:rPr>
                <w:rFonts w:ascii="Times New Roman" w:eastAsia="Times New Roman" w:hAnsi="Times New Roman" w:cs="Times New Roman"/>
                <w:sz w:val="20"/>
                <w:szCs w:val="20"/>
              </w:rPr>
            </w:pPr>
            <w:r w:rsidRPr="00947B0C">
              <w:rPr>
                <w:rFonts w:ascii="Times New Roman" w:eastAsia="Times New Roman" w:hAnsi="Times New Roman" w:cs="Times New Roman"/>
                <w:sz w:val="20"/>
                <w:szCs w:val="20"/>
              </w:rPr>
              <w:t xml:space="preserve">в ГРКЦ НБ РС(Я) Банка России </w:t>
            </w:r>
            <w:proofErr w:type="spellStart"/>
            <w:r w:rsidRPr="00947B0C">
              <w:rPr>
                <w:rFonts w:ascii="Times New Roman" w:eastAsia="Times New Roman" w:hAnsi="Times New Roman" w:cs="Times New Roman"/>
                <w:sz w:val="20"/>
                <w:szCs w:val="20"/>
              </w:rPr>
              <w:t>г.Якутск</w:t>
            </w:r>
            <w:proofErr w:type="spellEnd"/>
            <w:r w:rsidRPr="00947B0C">
              <w:rPr>
                <w:rFonts w:ascii="Times New Roman" w:hAnsi="Times New Roman" w:cs="Times New Roman"/>
                <w:sz w:val="20"/>
                <w:szCs w:val="20"/>
              </w:rPr>
              <w:t>;</w:t>
            </w:r>
          </w:p>
          <w:p w:rsidR="00772D54" w:rsidRPr="00947B0C" w:rsidRDefault="00772D54" w:rsidP="0099705C">
            <w:pPr>
              <w:tabs>
                <w:tab w:val="left" w:pos="1380"/>
              </w:tabs>
              <w:spacing w:after="0" w:line="240" w:lineRule="auto"/>
              <w:contextualSpacing/>
              <w:jc w:val="both"/>
              <w:rPr>
                <w:rFonts w:ascii="Times New Roman" w:eastAsia="Times New Roman" w:hAnsi="Times New Roman" w:cs="Times New Roman"/>
                <w:sz w:val="20"/>
                <w:szCs w:val="20"/>
              </w:rPr>
            </w:pPr>
            <w:r w:rsidRPr="00947B0C">
              <w:rPr>
                <w:rFonts w:ascii="Times New Roman" w:eastAsia="Times New Roman" w:hAnsi="Times New Roman" w:cs="Times New Roman"/>
                <w:sz w:val="20"/>
                <w:szCs w:val="20"/>
              </w:rPr>
              <w:t>БИК 049805001</w:t>
            </w:r>
            <w:r w:rsidRPr="00947B0C">
              <w:rPr>
                <w:rFonts w:ascii="Times New Roman" w:hAnsi="Times New Roman" w:cs="Times New Roman"/>
                <w:sz w:val="20"/>
                <w:szCs w:val="20"/>
              </w:rPr>
              <w:t>;</w:t>
            </w:r>
          </w:p>
          <w:p w:rsidR="00772D54" w:rsidRPr="00947B0C" w:rsidRDefault="00772D54" w:rsidP="0099705C">
            <w:pPr>
              <w:tabs>
                <w:tab w:val="left" w:pos="1380"/>
              </w:tabs>
              <w:spacing w:after="0" w:line="240" w:lineRule="auto"/>
              <w:contextualSpacing/>
              <w:jc w:val="both"/>
              <w:rPr>
                <w:rFonts w:ascii="Times New Roman" w:eastAsia="Times New Roman" w:hAnsi="Times New Roman" w:cs="Times New Roman"/>
                <w:sz w:val="20"/>
                <w:szCs w:val="20"/>
              </w:rPr>
            </w:pPr>
            <w:r w:rsidRPr="00947B0C">
              <w:rPr>
                <w:rFonts w:ascii="Times New Roman" w:eastAsia="Times New Roman" w:hAnsi="Times New Roman" w:cs="Times New Roman"/>
                <w:sz w:val="20"/>
                <w:szCs w:val="20"/>
              </w:rPr>
              <w:t>л/с 5567305333</w:t>
            </w:r>
            <w:r w:rsidRPr="00947B0C">
              <w:rPr>
                <w:rFonts w:ascii="Times New Roman" w:hAnsi="Times New Roman" w:cs="Times New Roman"/>
                <w:sz w:val="20"/>
                <w:szCs w:val="20"/>
              </w:rPr>
              <w:t>;</w:t>
            </w:r>
          </w:p>
          <w:p w:rsidR="00772D54" w:rsidRPr="00947B0C" w:rsidRDefault="00772D54" w:rsidP="0099705C">
            <w:pPr>
              <w:tabs>
                <w:tab w:val="left" w:pos="1380"/>
              </w:tabs>
              <w:spacing w:after="0" w:line="240" w:lineRule="auto"/>
              <w:contextualSpacing/>
              <w:jc w:val="both"/>
              <w:rPr>
                <w:rFonts w:ascii="Times New Roman" w:eastAsia="Times New Roman" w:hAnsi="Times New Roman" w:cs="Times New Roman"/>
                <w:sz w:val="20"/>
                <w:szCs w:val="20"/>
              </w:rPr>
            </w:pPr>
            <w:r w:rsidRPr="00947B0C">
              <w:rPr>
                <w:rFonts w:ascii="Times New Roman" w:eastAsia="Times New Roman" w:hAnsi="Times New Roman" w:cs="Times New Roman"/>
                <w:sz w:val="20"/>
                <w:szCs w:val="20"/>
              </w:rPr>
              <w:t>В назначении платежа указать: код дохода 673 000 000 000 000 000 00 730</w:t>
            </w:r>
          </w:p>
          <w:p w:rsidR="00772D54" w:rsidRPr="00947B0C" w:rsidRDefault="00772D54" w:rsidP="0099705C">
            <w:pPr>
              <w:tabs>
                <w:tab w:val="left" w:pos="4678"/>
              </w:tabs>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Назначение платежа: «Обеспечение заявки на участие в открытом конкурсе на ________________________________________________ </w:t>
            </w:r>
          </w:p>
          <w:p w:rsidR="00772D54" w:rsidRPr="00947B0C" w:rsidRDefault="00772D54" w:rsidP="0099705C">
            <w:pPr>
              <w:tabs>
                <w:tab w:val="left" w:pos="4678"/>
              </w:tabs>
              <w:spacing w:after="0" w:line="240" w:lineRule="auto"/>
              <w:contextualSpacing/>
              <w:jc w:val="right"/>
              <w:rPr>
                <w:rFonts w:ascii="Times New Roman" w:hAnsi="Times New Roman" w:cs="Times New Roman"/>
                <w:sz w:val="20"/>
                <w:szCs w:val="20"/>
              </w:rPr>
            </w:pPr>
            <w:r w:rsidRPr="00947B0C">
              <w:rPr>
                <w:rFonts w:ascii="Times New Roman" w:hAnsi="Times New Roman" w:cs="Times New Roman"/>
                <w:sz w:val="20"/>
                <w:szCs w:val="20"/>
              </w:rPr>
              <w:t>(указать наименование открытого конкурса и лот)</w:t>
            </w:r>
          </w:p>
          <w:p w:rsidR="00772D54" w:rsidRPr="00947B0C" w:rsidRDefault="00772D54" w:rsidP="0099705C">
            <w:pPr>
              <w:tabs>
                <w:tab w:val="left" w:pos="4678"/>
              </w:tabs>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Платежные документы, в которых указано иное назначение платежа, не будут считаться документами, подтверждающими внесение обеспечения заявки на участие в конкурсе. Платежное поручение или копия данного документа должны быть в составе заявки.</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t>3</w:t>
            </w:r>
          </w:p>
        </w:tc>
        <w:tc>
          <w:tcPr>
            <w:tcW w:w="3828"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w:t>
            </w:r>
          </w:p>
        </w:tc>
        <w:tc>
          <w:tcPr>
            <w:tcW w:w="5016"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w:t>
            </w:r>
            <w:r w:rsidRPr="00DE1F03">
              <w:rPr>
                <w:rFonts w:ascii="Times New Roman" w:hAnsi="Times New Roman" w:cs="Times New Roman"/>
                <w:sz w:val="20"/>
                <w:szCs w:val="20"/>
              </w:rPr>
              <w:t>График производства осмотров Приложение № 4 к документации.</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t>4</w:t>
            </w:r>
          </w:p>
        </w:tc>
        <w:tc>
          <w:tcPr>
            <w:tcW w:w="3828" w:type="dxa"/>
          </w:tcPr>
          <w:p w:rsidR="00772D54" w:rsidRPr="00947B0C" w:rsidRDefault="00772D54" w:rsidP="00DA02D2">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6" w:history="1">
              <w:r w:rsidRPr="00947B0C">
                <w:rPr>
                  <w:rFonts w:ascii="Times New Roman" w:hAnsi="Times New Roman" w:cs="Times New Roman"/>
                  <w:sz w:val="20"/>
                  <w:szCs w:val="20"/>
                </w:rPr>
                <w:t>минимальном перечне</w:t>
              </w:r>
            </w:hyperlink>
            <w:r w:rsidRPr="00947B0C">
              <w:rPr>
                <w:rFonts w:ascii="Times New Roman" w:hAnsi="Times New Roman" w:cs="Times New Roman"/>
                <w:sz w:val="20"/>
                <w:szCs w:val="20"/>
              </w:rPr>
              <w:t xml:space="preserve"> услуг и работ, необходимых для обеспечения надлежащего содержания общего имущества в многоквартирном доме, утвержденном постановлением </w:t>
            </w:r>
            <w:r w:rsidRPr="00947B0C">
              <w:rPr>
                <w:rFonts w:ascii="Times New Roman" w:hAnsi="Times New Roman" w:cs="Times New Roman"/>
                <w:sz w:val="20"/>
                <w:szCs w:val="20"/>
              </w:rPr>
              <w:lastRenderedPageBreak/>
              <w:t xml:space="preserve">Правительства Российской Федерации от 3 апреля 2013 г. </w:t>
            </w:r>
            <w:r w:rsidR="0099705C" w:rsidRPr="00947B0C">
              <w:rPr>
                <w:rFonts w:ascii="Times New Roman" w:hAnsi="Times New Roman" w:cs="Times New Roman"/>
                <w:sz w:val="20"/>
                <w:szCs w:val="20"/>
              </w:rPr>
              <w:t>№</w:t>
            </w:r>
            <w:r w:rsidRPr="00947B0C">
              <w:rPr>
                <w:rFonts w:ascii="Times New Roman" w:hAnsi="Times New Roman" w:cs="Times New Roman"/>
                <w:sz w:val="20"/>
                <w:szCs w:val="20"/>
              </w:rPr>
              <w:t xml:space="preserve"> 290.</w:t>
            </w:r>
          </w:p>
        </w:tc>
        <w:tc>
          <w:tcPr>
            <w:tcW w:w="5016" w:type="dxa"/>
          </w:tcPr>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lastRenderedPageBreak/>
              <w:t>Согласно Приложению № 3 к настоящей документации, в объемах, сроки (периодичность) и в соответствии с требованиями действующего законодательства РФ включая:</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Федеральный закон Российской Федерации №52-ФЗ от «30» марта 1999 года «О санитарно-эпидемиологическом благополучии населения».</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Федеральный закон Российской Федерации №69-ФЗ от «21» декабря 1994 года «О пожарной безопасности».</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 Федеральный закон от 07.12.2011 </w:t>
            </w:r>
            <w:r w:rsidR="0099705C" w:rsidRPr="00947B0C">
              <w:rPr>
                <w:rFonts w:ascii="Times New Roman" w:hAnsi="Times New Roman" w:cs="Times New Roman"/>
                <w:sz w:val="20"/>
                <w:szCs w:val="20"/>
              </w:rPr>
              <w:t>№</w:t>
            </w:r>
            <w:r w:rsidRPr="00947B0C">
              <w:rPr>
                <w:rFonts w:ascii="Times New Roman" w:hAnsi="Times New Roman" w:cs="Times New Roman"/>
                <w:sz w:val="20"/>
                <w:szCs w:val="20"/>
              </w:rPr>
              <w:t xml:space="preserve"> 416-ФЗ «О водоснабжении и водоотведении».</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Федеральный закон Российской Федерации №390-ФЗ «28» декабря 2010 года «О безопасности».</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lastRenderedPageBreak/>
              <w:t xml:space="preserve">- Федеральный закон от 21.07.1997 </w:t>
            </w:r>
            <w:r w:rsidR="0099705C" w:rsidRPr="00947B0C">
              <w:rPr>
                <w:rFonts w:ascii="Times New Roman" w:hAnsi="Times New Roman" w:cs="Times New Roman"/>
                <w:sz w:val="20"/>
                <w:szCs w:val="20"/>
              </w:rPr>
              <w:t>№</w:t>
            </w:r>
            <w:r w:rsidRPr="00947B0C">
              <w:rPr>
                <w:rFonts w:ascii="Times New Roman" w:hAnsi="Times New Roman" w:cs="Times New Roman"/>
                <w:sz w:val="20"/>
                <w:szCs w:val="20"/>
              </w:rPr>
              <w:t xml:space="preserve"> 116-ФЗ «О промышленной безопасности опасных производственных объектов».</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 Федеральный закон от 30.12.2009 </w:t>
            </w:r>
            <w:r w:rsidR="0099705C" w:rsidRPr="00947B0C">
              <w:rPr>
                <w:rFonts w:ascii="Times New Roman" w:hAnsi="Times New Roman" w:cs="Times New Roman"/>
                <w:sz w:val="20"/>
                <w:szCs w:val="20"/>
              </w:rPr>
              <w:t>№</w:t>
            </w:r>
            <w:r w:rsidRPr="00947B0C">
              <w:rPr>
                <w:rFonts w:ascii="Times New Roman" w:hAnsi="Times New Roman" w:cs="Times New Roman"/>
                <w:sz w:val="20"/>
                <w:szCs w:val="20"/>
              </w:rPr>
              <w:t xml:space="preserve"> 384-ФЗ «Технический регламент о безопасности зданий и сооружений».</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Закон Российской Федерации «07» февраля 1992 года №2300-1 «О защите прав потребителей».</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 Постановление Правительства Российской Федерации от «06» мая 2011 г. </w:t>
            </w:r>
            <w:r w:rsidR="0099705C" w:rsidRPr="00947B0C">
              <w:rPr>
                <w:rFonts w:ascii="Times New Roman" w:hAnsi="Times New Roman" w:cs="Times New Roman"/>
                <w:sz w:val="20"/>
                <w:szCs w:val="20"/>
              </w:rPr>
              <w:t>№</w:t>
            </w:r>
            <w:r w:rsidRPr="00947B0C">
              <w:rPr>
                <w:rFonts w:ascii="Times New Roman" w:hAnsi="Times New Roman" w:cs="Times New Roman"/>
                <w:sz w:val="20"/>
                <w:szCs w:val="20"/>
              </w:rPr>
              <w:t xml:space="preserve"> 354 «Об утверждении Правил предоставления коммунальных услуг собственникам и пользователям помещений в многоквартирных домах и жилых домов.</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 Постановление Госстроя РФ от 27.09.2003 </w:t>
            </w:r>
            <w:r w:rsidR="0099705C" w:rsidRPr="00947B0C">
              <w:rPr>
                <w:rFonts w:ascii="Times New Roman" w:hAnsi="Times New Roman" w:cs="Times New Roman"/>
                <w:sz w:val="20"/>
                <w:szCs w:val="20"/>
              </w:rPr>
              <w:t>№</w:t>
            </w:r>
            <w:r w:rsidRPr="00947B0C">
              <w:rPr>
                <w:rFonts w:ascii="Times New Roman" w:hAnsi="Times New Roman" w:cs="Times New Roman"/>
                <w:sz w:val="20"/>
                <w:szCs w:val="20"/>
              </w:rPr>
              <w:t xml:space="preserve"> 170 «Об утверждении Правил и норм технической эксплуатации жилищного фонда».</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Методическое пособие по содержанию и ремонту жилого фонда МДК 2-04.2004 утвержденным Госстроем РФ.</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 Постановление Правительства РФ от 13.08.2006 </w:t>
            </w:r>
            <w:r w:rsidR="0099705C" w:rsidRPr="00947B0C">
              <w:rPr>
                <w:rFonts w:ascii="Times New Roman" w:hAnsi="Times New Roman" w:cs="Times New Roman"/>
                <w:sz w:val="20"/>
                <w:szCs w:val="20"/>
              </w:rPr>
              <w:t>№</w:t>
            </w:r>
            <w:r w:rsidRPr="00947B0C">
              <w:rPr>
                <w:rFonts w:ascii="Times New Roman" w:hAnsi="Times New Roman" w:cs="Times New Roman"/>
                <w:sz w:val="20"/>
                <w:szCs w:val="20"/>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 Постановление Правительства Российской Федерации от 25 апреля 2012 г. </w:t>
            </w:r>
            <w:r w:rsidR="0099705C" w:rsidRPr="00947B0C">
              <w:rPr>
                <w:rFonts w:ascii="Times New Roman" w:hAnsi="Times New Roman" w:cs="Times New Roman"/>
                <w:sz w:val="20"/>
                <w:szCs w:val="20"/>
              </w:rPr>
              <w:t>№</w:t>
            </w:r>
            <w:r w:rsidRPr="00947B0C">
              <w:rPr>
                <w:rFonts w:ascii="Times New Roman" w:hAnsi="Times New Roman" w:cs="Times New Roman"/>
                <w:sz w:val="20"/>
                <w:szCs w:val="20"/>
              </w:rPr>
              <w:t xml:space="preserve"> 390 «Об утверждении Правил противопожарного режима в Российской Федерации».</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 Постановление Правительства Российской Федерации от 10 февраля 1997 г. </w:t>
            </w:r>
            <w:r w:rsidR="0099705C" w:rsidRPr="00947B0C">
              <w:rPr>
                <w:rFonts w:ascii="Times New Roman" w:hAnsi="Times New Roman" w:cs="Times New Roman"/>
                <w:sz w:val="20"/>
                <w:szCs w:val="20"/>
              </w:rPr>
              <w:t>№</w:t>
            </w:r>
            <w:r w:rsidRPr="00947B0C">
              <w:rPr>
                <w:rFonts w:ascii="Times New Roman" w:hAnsi="Times New Roman" w:cs="Times New Roman"/>
                <w:sz w:val="20"/>
                <w:szCs w:val="20"/>
              </w:rPr>
              <w:t xml:space="preserve"> 155 «Об утверждении Правил предоставления услуг по вывозу твердых и жидких бытовых отходов».</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 Постановление Правительства РФ от 03.04.2013 </w:t>
            </w:r>
            <w:r w:rsidR="0099705C" w:rsidRPr="00947B0C">
              <w:rPr>
                <w:rFonts w:ascii="Times New Roman" w:hAnsi="Times New Roman" w:cs="Times New Roman"/>
                <w:sz w:val="20"/>
                <w:szCs w:val="20"/>
              </w:rPr>
              <w:t>№</w:t>
            </w:r>
            <w:r w:rsidRPr="00947B0C">
              <w:rPr>
                <w:rFonts w:ascii="Times New Roman" w:hAnsi="Times New Roman" w:cs="Times New Roman"/>
                <w:sz w:val="20"/>
                <w:szCs w:val="20"/>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 Постановление Правительства РФ от 15.05.2013 </w:t>
            </w:r>
            <w:r w:rsidR="0099705C" w:rsidRPr="00947B0C">
              <w:rPr>
                <w:rFonts w:ascii="Times New Roman" w:hAnsi="Times New Roman" w:cs="Times New Roman"/>
                <w:sz w:val="20"/>
                <w:szCs w:val="20"/>
              </w:rPr>
              <w:t>№</w:t>
            </w:r>
            <w:r w:rsidRPr="00947B0C">
              <w:rPr>
                <w:rFonts w:ascii="Times New Roman" w:hAnsi="Times New Roman" w:cs="Times New Roman"/>
                <w:sz w:val="20"/>
                <w:szCs w:val="20"/>
              </w:rPr>
              <w:t xml:space="preserve"> 416 (ред. от 26.03.2014) "О порядке осуществления деятельности по управлению многоквартирными домами".</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Постановление Главного государственного санитарного врача РФ от «10» июня 2010 года №64 «Об утверждении СанПиН 2.1.2.2645-10» (вместе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lastRenderedPageBreak/>
              <w:t>5</w:t>
            </w:r>
          </w:p>
        </w:tc>
        <w:tc>
          <w:tcPr>
            <w:tcW w:w="3828"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5016" w:type="dxa"/>
          </w:tcPr>
          <w:p w:rsidR="00772D54" w:rsidRPr="00947B0C" w:rsidRDefault="00772D54" w:rsidP="0099705C">
            <w:pPr>
              <w:pStyle w:val="ConsPlusNormal"/>
              <w:contextualSpacing/>
              <w:jc w:val="both"/>
              <w:rPr>
                <w:rFonts w:ascii="Times New Roman" w:hAnsi="Times New Roman" w:cs="Times New Roman"/>
              </w:rPr>
            </w:pPr>
            <w:r w:rsidRPr="00947B0C">
              <w:rPr>
                <w:rFonts w:ascii="Times New Roman" w:hAnsi="Times New Roman" w:cs="Times New Roman"/>
              </w:rPr>
              <w:t>Оплата услуг Управляющей организация в соответствии со статьями 153, 155 Жилищно</w:t>
            </w:r>
            <w:r w:rsidR="00D82878" w:rsidRPr="00947B0C">
              <w:rPr>
                <w:rFonts w:ascii="Times New Roman" w:hAnsi="Times New Roman" w:cs="Times New Roman"/>
              </w:rPr>
              <w:t>го кодекса Российской Федерации</w:t>
            </w:r>
            <w:r w:rsidRPr="00947B0C">
              <w:rPr>
                <w:rFonts w:ascii="Times New Roman" w:hAnsi="Times New Roman" w:cs="Times New Roman"/>
              </w:rPr>
              <w:t xml:space="preserve"> производится нанимателями, собственниками, арендаторами жилых помещений</w:t>
            </w:r>
            <w:r w:rsidR="00D82878" w:rsidRPr="00947B0C">
              <w:rPr>
                <w:rFonts w:ascii="Times New Roman" w:hAnsi="Times New Roman" w:cs="Times New Roman"/>
              </w:rPr>
              <w:t>,</w:t>
            </w:r>
            <w:r w:rsidRPr="00947B0C">
              <w:rPr>
                <w:rFonts w:ascii="Times New Roman" w:hAnsi="Times New Roman" w:cs="Times New Roman"/>
              </w:rPr>
              <w:t xml:space="preserve"> проживающих в многоквартирных домах.</w:t>
            </w:r>
          </w:p>
          <w:p w:rsidR="00772D54" w:rsidRPr="00947B0C" w:rsidRDefault="00772D54" w:rsidP="0099705C">
            <w:pPr>
              <w:pStyle w:val="ConsPlusNormal"/>
              <w:contextualSpacing/>
              <w:jc w:val="both"/>
              <w:rPr>
                <w:rFonts w:ascii="Times New Roman" w:hAnsi="Times New Roman" w:cs="Times New Roman"/>
              </w:rPr>
            </w:pPr>
            <w:r w:rsidRPr="00947B0C">
              <w:rPr>
                <w:rFonts w:ascii="Times New Roman" w:hAnsi="Times New Roman" w:cs="Times New Roman"/>
              </w:rPr>
              <w:t xml:space="preserve">Размер платы за жилое помещение в многоквартирном доме для населения Городского округа «город Якутск» ежегодно устанавливается Постановлением Главы Окружной администрации «город Якутск», что не </w:t>
            </w:r>
            <w:r w:rsidRPr="00947B0C">
              <w:rPr>
                <w:rFonts w:ascii="Times New Roman" w:hAnsi="Times New Roman" w:cs="Times New Roman"/>
              </w:rPr>
              <w:lastRenderedPageBreak/>
              <w:t>является основанием для внесения изменений в договор.</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Плата за содержание и ремонт жилого помещения и коммунальные услуги вносится ежемесячно до 10 (десятого) числа месяца, следующего за расчетным.</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для Собственников и нанимателей жилых помещений - счета-квитанции;</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для Собственников и пользователей нежилых помещений - счета на оплату оказанных услуг и выполненных работ.</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p w:rsidR="00772D54" w:rsidRPr="00947B0C" w:rsidRDefault="00772D54" w:rsidP="0099705C">
            <w:pPr>
              <w:spacing w:after="0" w:line="240" w:lineRule="auto"/>
              <w:contextualSpacing/>
              <w:jc w:val="both"/>
              <w:rPr>
                <w:rFonts w:ascii="Times New Roman" w:hAnsi="Times New Roman" w:cs="Times New Roman"/>
              </w:rPr>
            </w:pPr>
            <w:r w:rsidRPr="00947B0C">
              <w:rPr>
                <w:rFonts w:ascii="Times New Roman" w:hAnsi="Times New Roman" w:cs="Times New Roman"/>
                <w:sz w:val="20"/>
                <w:szCs w:val="20"/>
              </w:rPr>
              <w:t xml:space="preserve">Размер платы за содержание и ремонт жилого помещения рассчитан в зависимости от конструктивных и технических параметров многоквартирного дома, степени износа, этажности, наличия электрического, санитарно-технического и иного оборудования, материалов стен, других параметров, а также от </w:t>
            </w:r>
            <w:r w:rsidR="00DA02D2">
              <w:rPr>
                <w:rFonts w:ascii="Times New Roman" w:hAnsi="Times New Roman" w:cs="Times New Roman"/>
                <w:sz w:val="20"/>
                <w:szCs w:val="20"/>
              </w:rPr>
              <w:t>объема и количества</w:t>
            </w:r>
            <w:r w:rsidRPr="00947B0C">
              <w:rPr>
                <w:rFonts w:ascii="Times New Roman" w:hAnsi="Times New Roman" w:cs="Times New Roman"/>
                <w:sz w:val="20"/>
                <w:szCs w:val="20"/>
              </w:rPr>
              <w:t xml:space="preserve"> работ и услуг.</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lastRenderedPageBreak/>
              <w:t>6</w:t>
            </w:r>
          </w:p>
        </w:tc>
        <w:tc>
          <w:tcPr>
            <w:tcW w:w="3828"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Требования к участникам конкурса.</w:t>
            </w:r>
          </w:p>
        </w:tc>
        <w:tc>
          <w:tcPr>
            <w:tcW w:w="5016"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b/>
                <w:sz w:val="20"/>
                <w:szCs w:val="20"/>
              </w:rPr>
            </w:pPr>
            <w:bookmarkStart w:id="0" w:name="Par0"/>
            <w:bookmarkEnd w:id="0"/>
            <w:r w:rsidRPr="00947B0C">
              <w:rPr>
                <w:rFonts w:ascii="Times New Roman" w:hAnsi="Times New Roman" w:cs="Times New Roman"/>
                <w:b/>
                <w:sz w:val="20"/>
                <w:szCs w:val="20"/>
              </w:rPr>
              <w:t>При проведении конкурса устанавливаются следующие требования к претендентам:</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bookmarkStart w:id="1" w:name="Par2"/>
            <w:bookmarkEnd w:id="1"/>
            <w:r w:rsidRPr="00947B0C">
              <w:rPr>
                <w:rFonts w:ascii="Times New Roman" w:hAnsi="Times New Roman" w:cs="Times New Roman"/>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3) деятельность претендента не приостановлена в порядке, предусмотренном </w:t>
            </w:r>
            <w:hyperlink r:id="rId7" w:history="1">
              <w:r w:rsidRPr="00947B0C">
                <w:rPr>
                  <w:rFonts w:ascii="Times New Roman" w:hAnsi="Times New Roman" w:cs="Times New Roman"/>
                  <w:sz w:val="20"/>
                  <w:szCs w:val="20"/>
                </w:rPr>
                <w:t>Кодексом</w:t>
              </w:r>
            </w:hyperlink>
            <w:r w:rsidRPr="00947B0C">
              <w:rPr>
                <w:rFonts w:ascii="Times New Roman" w:hAnsi="Times New Roman" w:cs="Times New Roman"/>
                <w:sz w:val="20"/>
                <w:szCs w:val="20"/>
              </w:rPr>
              <w:t xml:space="preserve"> Российской Федерации об административных правонарушениях;</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8" w:history="1">
              <w:r w:rsidRPr="00947B0C">
                <w:rPr>
                  <w:rFonts w:ascii="Times New Roman" w:hAnsi="Times New Roman" w:cs="Times New Roman"/>
                  <w:sz w:val="20"/>
                  <w:szCs w:val="20"/>
                </w:rPr>
                <w:t>законодательством</w:t>
              </w:r>
            </w:hyperlink>
            <w:r w:rsidRPr="00947B0C">
              <w:rPr>
                <w:rFonts w:ascii="Times New Roman" w:hAnsi="Times New Roman" w:cs="Times New Roman"/>
                <w:sz w:val="20"/>
                <w:szCs w:val="20"/>
              </w:rPr>
              <w:t xml:space="preserve"> Российской Федерации и решение по такой жалобе не вступило в силу;</w:t>
            </w:r>
          </w:p>
          <w:p w:rsidR="00772D54" w:rsidRPr="00993B16" w:rsidRDefault="00772D54" w:rsidP="0099705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47B0C">
              <w:rPr>
                <w:rFonts w:ascii="Times New Roman" w:hAnsi="Times New Roman" w:cs="Times New Roman"/>
                <w:sz w:val="20"/>
                <w:szCs w:val="20"/>
              </w:rPr>
              <w:t xml:space="preserve">5) </w:t>
            </w:r>
            <w:r w:rsidR="00993B16">
              <w:rPr>
                <w:rFonts w:ascii="Times New Roman" w:eastAsiaTheme="minorHAnsi" w:hAnsi="Times New Roman" w:cs="Times New Roman"/>
                <w:sz w:val="20"/>
                <w:szCs w:val="20"/>
                <w:lang w:eastAsia="en-US"/>
              </w:rPr>
              <w:t xml:space="preserve">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w:t>
            </w:r>
            <w:r w:rsidR="00993B16">
              <w:rPr>
                <w:rFonts w:ascii="Times New Roman" w:eastAsiaTheme="minorHAnsi" w:hAnsi="Times New Roman" w:cs="Times New Roman"/>
                <w:sz w:val="20"/>
                <w:szCs w:val="20"/>
                <w:lang w:eastAsia="en-US"/>
              </w:rPr>
              <w:lastRenderedPageBreak/>
              <w:t>(кредитора), включая обязательства по кредитам и займам, которые приводят к уменьшению балансовой стоимости активов претендента</w:t>
            </w:r>
            <w:r w:rsidRPr="00947B0C">
              <w:rPr>
                <w:rFonts w:ascii="Times New Roman" w:hAnsi="Times New Roman" w:cs="Times New Roman"/>
                <w:sz w:val="20"/>
                <w:szCs w:val="20"/>
              </w:rPr>
              <w:t>;</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bookmarkStart w:id="2" w:name="Par6"/>
            <w:bookmarkEnd w:id="2"/>
            <w:r w:rsidRPr="00947B0C">
              <w:rPr>
                <w:rFonts w:ascii="Times New Roman" w:hAnsi="Times New Roman" w:cs="Times New Roman"/>
                <w:sz w:val="20"/>
                <w:szCs w:val="2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w:t>
            </w:r>
            <w:r w:rsidR="00993B16">
              <w:rPr>
                <w:rFonts w:ascii="Times New Roman" w:hAnsi="Times New Roman" w:cs="Times New Roman"/>
                <w:sz w:val="20"/>
                <w:szCs w:val="20"/>
              </w:rPr>
              <w:t>ументации;</w:t>
            </w:r>
          </w:p>
          <w:p w:rsidR="00740A92" w:rsidRPr="00947B0C" w:rsidRDefault="00740A92" w:rsidP="0099705C">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47B0C">
              <w:rPr>
                <w:rFonts w:ascii="Times New Roman" w:eastAsiaTheme="minorHAnsi" w:hAnsi="Times New Roman" w:cs="Times New Roman"/>
                <w:sz w:val="20"/>
                <w:szCs w:val="20"/>
                <w:lang w:eastAsia="en-US"/>
              </w:rPr>
              <w:t xml:space="preserve">7) отсутствие у претендента задолженности перед </w:t>
            </w:r>
            <w:proofErr w:type="spellStart"/>
            <w:r w:rsidRPr="00947B0C">
              <w:rPr>
                <w:rFonts w:ascii="Times New Roman" w:eastAsiaTheme="minorHAnsi" w:hAnsi="Times New Roman" w:cs="Times New Roman"/>
                <w:sz w:val="20"/>
                <w:szCs w:val="20"/>
                <w:lang w:eastAsia="en-US"/>
              </w:rPr>
              <w:t>ресурсоснабжающей</w:t>
            </w:r>
            <w:proofErr w:type="spellEnd"/>
            <w:r w:rsidRPr="00947B0C">
              <w:rPr>
                <w:rFonts w:ascii="Times New Roman" w:eastAsiaTheme="minorHAnsi" w:hAnsi="Times New Roman" w:cs="Times New Roman"/>
                <w:sz w:val="20"/>
                <w:szCs w:val="20"/>
                <w:lang w:eastAsia="en-US"/>
              </w:rPr>
              <w:t xml:space="preserve"> организацией за 2 и более расчетных периода, подтвержденное актами сверки либо решением суда, вступившим в законную силу;</w:t>
            </w:r>
          </w:p>
          <w:p w:rsidR="00740A92" w:rsidRPr="00947B0C" w:rsidRDefault="00740A92" w:rsidP="0099705C">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47B0C">
              <w:rPr>
                <w:rFonts w:ascii="Times New Roman" w:eastAsiaTheme="minorHAnsi" w:hAnsi="Times New Roman" w:cs="Times New Roman"/>
                <w:sz w:val="20"/>
                <w:szCs w:val="20"/>
                <w:lang w:eastAsia="en-US"/>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Настоящие требования предъявляются ко всем претендентам.</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Проверка соответствия претендентов требованиям, указанным в </w:t>
            </w:r>
            <w:hyperlink w:anchor="Par2" w:history="1">
              <w:r w:rsidRPr="00947B0C">
                <w:rPr>
                  <w:rFonts w:ascii="Times New Roman" w:hAnsi="Times New Roman" w:cs="Times New Roman"/>
                  <w:sz w:val="20"/>
                  <w:szCs w:val="20"/>
                </w:rPr>
                <w:t>подпунктах 2</w:t>
              </w:r>
            </w:hyperlink>
            <w:r w:rsidRPr="00947B0C">
              <w:rPr>
                <w:rFonts w:ascii="Times New Roman" w:hAnsi="Times New Roman" w:cs="Times New Roman"/>
                <w:sz w:val="20"/>
                <w:szCs w:val="20"/>
              </w:rPr>
              <w:t xml:space="preserve"> - </w:t>
            </w:r>
            <w:r w:rsidR="00740A92" w:rsidRPr="00947B0C">
              <w:rPr>
                <w:rFonts w:ascii="Times New Roman" w:hAnsi="Times New Roman" w:cs="Times New Roman"/>
                <w:sz w:val="20"/>
                <w:szCs w:val="20"/>
              </w:rPr>
              <w:t>8</w:t>
            </w:r>
            <w:hyperlink w:anchor="Par6" w:history="1"/>
            <w:r w:rsidRPr="00947B0C">
              <w:rPr>
                <w:rFonts w:ascii="Times New Roman" w:hAnsi="Times New Roman" w:cs="Times New Roman"/>
                <w:sz w:val="20"/>
                <w:szCs w:val="20"/>
              </w:rPr>
              <w:t xml:space="preserve"> настоящей документации, осуществляется конкурсной комиссией.</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b/>
                <w:sz w:val="20"/>
                <w:szCs w:val="20"/>
              </w:rPr>
            </w:pPr>
            <w:bookmarkStart w:id="3" w:name="Par9"/>
            <w:bookmarkEnd w:id="3"/>
            <w:r w:rsidRPr="00947B0C">
              <w:rPr>
                <w:rFonts w:ascii="Times New Roman" w:hAnsi="Times New Roman" w:cs="Times New Roman"/>
                <w:b/>
                <w:sz w:val="20"/>
                <w:szCs w:val="20"/>
              </w:rPr>
              <w:t>Основаниями для отказа допуска к участию в конкурсе являются:</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1) непредставление определенных настоящей документацией, документов либо наличие в таких документах недостоверных сведений;</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2) несоответствие претендента требованиям, установленным настоящей документацией;</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3) несоответствие заявки на участие в конкурсе требованиям, установленным настоящей документацией.</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В случае установления фактов несоответствия участника конкурса требованиям к претендентам, установленным настоящей документацией, конкурсная комиссия отстраняет участника конкурса от участия в конкурсе на любом этапе его проведения.</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lastRenderedPageBreak/>
              <w:t>7</w:t>
            </w:r>
          </w:p>
        </w:tc>
        <w:tc>
          <w:tcPr>
            <w:tcW w:w="3828"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Форма заявки на участие в конкурсе утвержденная организатором конкурса инструкция по ее заполнению.</w:t>
            </w:r>
          </w:p>
        </w:tc>
        <w:tc>
          <w:tcPr>
            <w:tcW w:w="5016" w:type="dxa"/>
          </w:tcPr>
          <w:p w:rsidR="00982C3A" w:rsidRDefault="00772D54" w:rsidP="00982C3A">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47B0C">
              <w:rPr>
                <w:rFonts w:ascii="Times New Roman" w:hAnsi="Times New Roman" w:cs="Times New Roman"/>
                <w:sz w:val="20"/>
                <w:szCs w:val="20"/>
              </w:rPr>
              <w:t xml:space="preserve">Для участия в конкурсе заинтересованное лицо подает заявку на участие в конкурсе на каждый лот отдельно по форме, предусмотренной </w:t>
            </w:r>
            <w:hyperlink r:id="rId9" w:history="1">
              <w:r w:rsidRPr="00947B0C">
                <w:rPr>
                  <w:rFonts w:ascii="Times New Roman" w:hAnsi="Times New Roman" w:cs="Times New Roman"/>
                  <w:sz w:val="20"/>
                  <w:szCs w:val="20"/>
                </w:rPr>
                <w:t xml:space="preserve">приложением </w:t>
              </w:r>
              <w:r w:rsidR="0099705C" w:rsidRPr="00947B0C">
                <w:rPr>
                  <w:rFonts w:ascii="Times New Roman" w:hAnsi="Times New Roman" w:cs="Times New Roman"/>
                  <w:sz w:val="20"/>
                  <w:szCs w:val="20"/>
                </w:rPr>
                <w:t>№</w:t>
              </w:r>
              <w:r w:rsidRPr="00947B0C">
                <w:rPr>
                  <w:rFonts w:ascii="Times New Roman" w:hAnsi="Times New Roman" w:cs="Times New Roman"/>
                  <w:sz w:val="20"/>
                  <w:szCs w:val="20"/>
                </w:rPr>
                <w:t xml:space="preserve"> </w:t>
              </w:r>
            </w:hyperlink>
            <w:r w:rsidR="00E238ED">
              <w:rPr>
                <w:rFonts w:ascii="Times New Roman" w:hAnsi="Times New Roman" w:cs="Times New Roman"/>
              </w:rPr>
              <w:t>6</w:t>
            </w:r>
            <w:r w:rsidRPr="00947B0C">
              <w:rPr>
                <w:rFonts w:ascii="Times New Roman" w:hAnsi="Times New Roman" w:cs="Times New Roman"/>
                <w:sz w:val="20"/>
                <w:szCs w:val="20"/>
              </w:rPr>
              <w:t xml:space="preserve"> к настоящей документации</w:t>
            </w:r>
            <w:r w:rsidR="00E238ED">
              <w:rPr>
                <w:rFonts w:ascii="Times New Roman" w:hAnsi="Times New Roman" w:cs="Times New Roman"/>
                <w:sz w:val="20"/>
                <w:szCs w:val="20"/>
              </w:rPr>
              <w:t xml:space="preserve"> (инструкция прилагается к форме заявки)</w:t>
            </w:r>
            <w:r w:rsidRPr="00947B0C">
              <w:rPr>
                <w:rFonts w:ascii="Times New Roman" w:hAnsi="Times New Roman" w:cs="Times New Roman"/>
                <w:sz w:val="20"/>
                <w:szCs w:val="20"/>
              </w:rPr>
              <w:t xml:space="preserve">. </w:t>
            </w:r>
            <w:r w:rsidR="00982C3A">
              <w:rPr>
                <w:rFonts w:ascii="Times New Roman" w:eastAsiaTheme="minorHAnsi" w:hAnsi="Times New Roman" w:cs="Times New Roman"/>
                <w:sz w:val="20"/>
                <w:szCs w:val="20"/>
                <w:lang w:eastAsia="en-US"/>
              </w:rPr>
              <w:t xml:space="preserve">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w:t>
            </w:r>
            <w:r w:rsidR="00982C3A" w:rsidRPr="00982C3A">
              <w:rPr>
                <w:rFonts w:ascii="Times New Roman" w:eastAsiaTheme="minorHAnsi" w:hAnsi="Times New Roman" w:cs="Times New Roman"/>
                <w:sz w:val="20"/>
                <w:szCs w:val="20"/>
                <w:lang w:eastAsia="en-US"/>
              </w:rPr>
              <w:t xml:space="preserve">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sidR="00982C3A" w:rsidRPr="00982C3A">
                <w:rPr>
                  <w:rFonts w:ascii="Times New Roman" w:eastAsiaTheme="minorHAnsi" w:hAnsi="Times New Roman" w:cs="Times New Roman"/>
                  <w:sz w:val="20"/>
                  <w:szCs w:val="20"/>
                  <w:lang w:eastAsia="en-US"/>
                </w:rPr>
                <w:t>Правилами</w:t>
              </w:r>
            </w:hyperlink>
            <w:r w:rsidR="00982C3A" w:rsidRPr="00982C3A">
              <w:rPr>
                <w:rFonts w:ascii="Times New Roman" w:eastAsiaTheme="minorHAnsi" w:hAnsi="Times New Roman" w:cs="Times New Roman"/>
                <w:sz w:val="20"/>
                <w:szCs w:val="20"/>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w:t>
            </w:r>
            <w:r w:rsidR="00982C3A">
              <w:rPr>
                <w:rFonts w:ascii="Times New Roman" w:eastAsiaTheme="minorHAnsi" w:hAnsi="Times New Roman" w:cs="Times New Roman"/>
                <w:sz w:val="20"/>
                <w:szCs w:val="20"/>
                <w:lang w:eastAsia="en-US"/>
              </w:rPr>
              <w:t xml:space="preserve">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w:t>
            </w:r>
            <w:r w:rsidR="00982C3A">
              <w:rPr>
                <w:rFonts w:ascii="Times New Roman" w:eastAsiaTheme="minorHAnsi" w:hAnsi="Times New Roman" w:cs="Times New Roman"/>
                <w:sz w:val="20"/>
                <w:szCs w:val="20"/>
                <w:lang w:eastAsia="en-US"/>
              </w:rPr>
              <w:lastRenderedPageBreak/>
              <w:t>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Заявка на участие в конкурсе должна включать в себя:</w:t>
            </w:r>
          </w:p>
          <w:p w:rsidR="00982C3A" w:rsidRPr="00982C3A" w:rsidRDefault="00772D54"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47B0C">
              <w:rPr>
                <w:rFonts w:ascii="Times New Roman" w:hAnsi="Times New Roman" w:cs="Times New Roman"/>
                <w:sz w:val="20"/>
                <w:szCs w:val="20"/>
              </w:rPr>
              <w:t>1</w:t>
            </w:r>
            <w:r w:rsidRPr="00982C3A">
              <w:rPr>
                <w:rFonts w:ascii="Times New Roman" w:hAnsi="Times New Roman" w:cs="Times New Roman"/>
                <w:sz w:val="20"/>
                <w:szCs w:val="20"/>
              </w:rPr>
              <w:t xml:space="preserve">) </w:t>
            </w:r>
            <w:r w:rsidR="00982C3A" w:rsidRPr="00982C3A">
              <w:rPr>
                <w:rFonts w:ascii="Times New Roman" w:eastAsiaTheme="minorHAnsi" w:hAnsi="Times New Roman" w:cs="Times New Roman"/>
                <w:sz w:val="20"/>
                <w:szCs w:val="20"/>
                <w:lang w:eastAsia="en-US"/>
              </w:rPr>
              <w:t>сведения и документы о претенденте:</w:t>
            </w:r>
          </w:p>
          <w:p w:rsidR="00982C3A" w:rsidRPr="00982C3A" w:rsidRDefault="00982C3A"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82C3A">
              <w:rPr>
                <w:rFonts w:ascii="Times New Roman" w:eastAsiaTheme="minorHAnsi" w:hAnsi="Times New Roman" w:cs="Times New Roman"/>
                <w:sz w:val="20"/>
                <w:szCs w:val="20"/>
                <w:lang w:eastAsia="en-US"/>
              </w:rPr>
              <w:t>наименование, организационно-правовую форму, место нахождения, почтовый адрес - для юридического лица;</w:t>
            </w:r>
          </w:p>
          <w:p w:rsidR="00982C3A" w:rsidRPr="00982C3A" w:rsidRDefault="00982C3A"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82C3A">
              <w:rPr>
                <w:rFonts w:ascii="Times New Roman" w:eastAsiaTheme="minorHAnsi" w:hAnsi="Times New Roman" w:cs="Times New Roman"/>
                <w:sz w:val="20"/>
                <w:szCs w:val="20"/>
                <w:lang w:eastAsia="en-US"/>
              </w:rPr>
              <w:t>фамилию, имя, отчество (при наличии), данные документа, удостоверяющего личность, место жительства - для индивидуального предпринимателя;</w:t>
            </w:r>
          </w:p>
          <w:p w:rsidR="00982C3A" w:rsidRPr="00982C3A" w:rsidRDefault="00982C3A"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82C3A">
              <w:rPr>
                <w:rFonts w:ascii="Times New Roman" w:eastAsiaTheme="minorHAnsi" w:hAnsi="Times New Roman" w:cs="Times New Roman"/>
                <w:sz w:val="20"/>
                <w:szCs w:val="20"/>
                <w:lang w:eastAsia="en-US"/>
              </w:rPr>
              <w:t>номер телефона;</w:t>
            </w:r>
          </w:p>
          <w:p w:rsidR="00982C3A" w:rsidRPr="00982C3A" w:rsidRDefault="00982C3A"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82C3A">
              <w:rPr>
                <w:rFonts w:ascii="Times New Roman" w:eastAsiaTheme="minorHAnsi" w:hAnsi="Times New Roman" w:cs="Times New Roman"/>
                <w:sz w:val="20"/>
                <w:szCs w:val="20"/>
                <w:lang w:eastAsia="en-US"/>
              </w:rPr>
              <w:t>выписку из Единого государственного реестра юридических лиц - для юридического лица;</w:t>
            </w:r>
          </w:p>
          <w:p w:rsidR="00982C3A" w:rsidRPr="00982C3A" w:rsidRDefault="00982C3A"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82C3A">
              <w:rPr>
                <w:rFonts w:ascii="Times New Roman" w:eastAsiaTheme="minorHAnsi" w:hAnsi="Times New Roman" w:cs="Times New Roman"/>
                <w:sz w:val="20"/>
                <w:szCs w:val="20"/>
                <w:lang w:eastAsia="en-US"/>
              </w:rPr>
              <w:t>выписку из Единого государственного реестра индивидуальных предпринимателей - для индивидуального предпринимателя;</w:t>
            </w:r>
          </w:p>
          <w:p w:rsidR="00982C3A" w:rsidRPr="00982C3A" w:rsidRDefault="00982C3A"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82C3A">
              <w:rPr>
                <w:rFonts w:ascii="Times New Roman" w:eastAsiaTheme="minorHAnsi" w:hAnsi="Times New Roman" w:cs="Times New Roman"/>
                <w:sz w:val="20"/>
                <w:szCs w:val="20"/>
                <w:lang w:eastAsia="en-US"/>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82C3A" w:rsidRPr="00982C3A" w:rsidRDefault="00982C3A"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82C3A">
              <w:rPr>
                <w:rFonts w:ascii="Times New Roman" w:eastAsiaTheme="minorHAnsi" w:hAnsi="Times New Roman" w:cs="Times New Roman"/>
                <w:sz w:val="20"/>
                <w:szCs w:val="20"/>
                <w:lang w:eastAsia="en-US"/>
              </w:rPr>
              <w:t>реквизиты банковского счета для возврата средств, внесенных в качестве обеспечения заявки на участие в конкурсе;</w:t>
            </w:r>
          </w:p>
          <w:p w:rsidR="00982C3A" w:rsidRPr="00982C3A" w:rsidRDefault="00982C3A"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82C3A">
              <w:rPr>
                <w:rFonts w:ascii="Times New Roman" w:eastAsiaTheme="minorHAnsi" w:hAnsi="Times New Roman" w:cs="Times New Roman"/>
                <w:sz w:val="20"/>
                <w:szCs w:val="20"/>
                <w:lang w:eastAsia="en-US"/>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82C3A" w:rsidRPr="00982C3A" w:rsidRDefault="00982C3A"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82C3A">
              <w:rPr>
                <w:rFonts w:ascii="Times New Roman" w:eastAsiaTheme="minorHAnsi" w:hAnsi="Times New Roman" w:cs="Times New Roman"/>
                <w:sz w:val="20"/>
                <w:szCs w:val="20"/>
                <w:lang w:eastAsia="en-US"/>
              </w:rPr>
              <w:t>документы, подтверждающие внесение средств в качестве обеспечения заявки на участие в конкурсе;</w:t>
            </w:r>
          </w:p>
          <w:p w:rsidR="00982C3A" w:rsidRPr="00982C3A" w:rsidRDefault="00982C3A"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82C3A">
              <w:rPr>
                <w:rFonts w:ascii="Times New Roman" w:eastAsiaTheme="minorHAnsi" w:hAnsi="Times New Roman" w:cs="Times New Roman"/>
                <w:sz w:val="20"/>
                <w:szCs w:val="20"/>
                <w:lang w:eastAsia="en-US"/>
              </w:rPr>
              <w:t xml:space="preserve">копию документов, подтверждающих соответствие претендента требованию, установленному подпунктом 1 </w:t>
            </w:r>
            <w:hyperlink r:id="rId11" w:history="1">
              <w:r w:rsidRPr="00982C3A">
                <w:rPr>
                  <w:rFonts w:ascii="Times New Roman" w:eastAsiaTheme="minorHAnsi" w:hAnsi="Times New Roman" w:cs="Times New Roman"/>
                  <w:sz w:val="20"/>
                  <w:szCs w:val="20"/>
                  <w:lang w:eastAsia="en-US"/>
                </w:rPr>
                <w:t xml:space="preserve">пункта </w:t>
              </w:r>
            </w:hyperlink>
            <w:r>
              <w:rPr>
                <w:rFonts w:ascii="Times New Roman" w:eastAsiaTheme="minorHAnsi" w:hAnsi="Times New Roman" w:cs="Times New Roman"/>
                <w:sz w:val="20"/>
                <w:szCs w:val="20"/>
                <w:lang w:eastAsia="en-US"/>
              </w:rPr>
              <w:t>6</w:t>
            </w:r>
            <w:r w:rsidRPr="00982C3A">
              <w:rPr>
                <w:rFonts w:ascii="Times New Roman" w:eastAsiaTheme="minorHAnsi" w:hAnsi="Times New Roman" w:cs="Times New Roman"/>
                <w:sz w:val="20"/>
                <w:szCs w:val="20"/>
                <w:lang w:eastAsia="en-US"/>
              </w:rPr>
              <w:t xml:space="preserve"> </w:t>
            </w:r>
            <w:r w:rsidRPr="00947B0C">
              <w:rPr>
                <w:rFonts w:ascii="Times New Roman" w:hAnsi="Times New Roman" w:cs="Times New Roman"/>
                <w:sz w:val="20"/>
                <w:szCs w:val="20"/>
              </w:rPr>
              <w:t>настоящей документации</w:t>
            </w:r>
            <w:r w:rsidRPr="00982C3A">
              <w:rPr>
                <w:rFonts w:ascii="Times New Roman" w:eastAsiaTheme="minorHAnsi" w:hAnsi="Times New Roman" w:cs="Times New Roman"/>
                <w:sz w:val="20"/>
                <w:szCs w:val="20"/>
                <w:lang w:eastAsia="en-US"/>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82C3A" w:rsidRPr="00982C3A" w:rsidRDefault="00982C3A"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82C3A">
              <w:rPr>
                <w:rFonts w:ascii="Times New Roman" w:eastAsiaTheme="minorHAnsi" w:hAnsi="Times New Roman" w:cs="Times New Roman"/>
                <w:sz w:val="20"/>
                <w:szCs w:val="20"/>
                <w:lang w:eastAsia="en-US"/>
              </w:rPr>
              <w:t>копии утвержденного бухгалтерского баланса за последний отчетный период;</w:t>
            </w:r>
          </w:p>
          <w:p w:rsidR="00982C3A" w:rsidRPr="00982C3A" w:rsidRDefault="00982C3A" w:rsidP="00982C3A">
            <w:pPr>
              <w:autoSpaceDE w:val="0"/>
              <w:autoSpaceDN w:val="0"/>
              <w:adjustRightInd w:val="0"/>
              <w:spacing w:after="0" w:line="240" w:lineRule="auto"/>
              <w:contextualSpacing/>
              <w:jc w:val="both"/>
              <w:rPr>
                <w:rFonts w:ascii="Times New Roman" w:eastAsiaTheme="minorHAnsi" w:hAnsi="Times New Roman" w:cs="Times New Roman"/>
                <w:sz w:val="20"/>
                <w:szCs w:val="20"/>
                <w:lang w:eastAsia="en-US"/>
              </w:rPr>
            </w:pPr>
            <w:r w:rsidRPr="00982C3A">
              <w:rPr>
                <w:rFonts w:ascii="Times New Roman" w:eastAsiaTheme="minorHAnsi" w:hAnsi="Times New Roman" w:cs="Times New Roman"/>
                <w:sz w:val="20"/>
                <w:szCs w:val="20"/>
                <w:lang w:eastAsia="en-US"/>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72D54" w:rsidRDefault="00982C3A" w:rsidP="00982C3A">
            <w:pPr>
              <w:autoSpaceDE w:val="0"/>
              <w:autoSpaceDN w:val="0"/>
              <w:adjustRightInd w:val="0"/>
              <w:spacing w:after="0" w:line="240" w:lineRule="auto"/>
              <w:contextualSpacing/>
              <w:jc w:val="both"/>
              <w:rPr>
                <w:rFonts w:ascii="Times New Roman" w:hAnsi="Times New Roman" w:cs="Times New Roman"/>
                <w:sz w:val="20"/>
                <w:szCs w:val="20"/>
              </w:rPr>
            </w:pPr>
            <w:r w:rsidRPr="00982C3A">
              <w:rPr>
                <w:rFonts w:ascii="Times New Roman" w:eastAsiaTheme="minorHAnsi" w:hAnsi="Times New Roman" w:cs="Times New Roman"/>
                <w:sz w:val="20"/>
                <w:szCs w:val="20"/>
                <w:lang w:eastAsia="en-US"/>
              </w:rPr>
              <w:t xml:space="preserve">4) согласие претендента на включение его в перечень организаций для управления многоквартирным домом, предусмотренное </w:t>
            </w:r>
            <w:hyperlink r:id="rId12" w:history="1">
              <w:r w:rsidRPr="00982C3A">
                <w:rPr>
                  <w:rFonts w:ascii="Times New Roman" w:eastAsiaTheme="minorHAnsi" w:hAnsi="Times New Roman" w:cs="Times New Roman"/>
                  <w:sz w:val="20"/>
                  <w:szCs w:val="20"/>
                  <w:lang w:eastAsia="en-US"/>
                </w:rPr>
                <w:t xml:space="preserve">пунктом </w:t>
              </w:r>
            </w:hyperlink>
            <w:r>
              <w:rPr>
                <w:rFonts w:ascii="Times New Roman" w:eastAsiaTheme="minorHAnsi" w:hAnsi="Times New Roman" w:cs="Times New Roman"/>
                <w:sz w:val="20"/>
                <w:szCs w:val="20"/>
                <w:lang w:eastAsia="en-US"/>
              </w:rPr>
              <w:t xml:space="preserve">6 </w:t>
            </w:r>
            <w:r w:rsidRPr="00947B0C">
              <w:rPr>
                <w:rFonts w:ascii="Times New Roman" w:hAnsi="Times New Roman" w:cs="Times New Roman"/>
                <w:sz w:val="20"/>
                <w:szCs w:val="20"/>
              </w:rPr>
              <w:t>настоящей документации</w:t>
            </w:r>
            <w:r>
              <w:rPr>
                <w:rFonts w:ascii="Times New Roman" w:hAnsi="Times New Roman" w:cs="Times New Roman"/>
                <w:sz w:val="20"/>
                <w:szCs w:val="20"/>
              </w:rPr>
              <w:t>.</w:t>
            </w:r>
          </w:p>
          <w:p w:rsidR="00982C3A" w:rsidRPr="00982C3A" w:rsidRDefault="00982C3A" w:rsidP="00982C3A">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lastRenderedPageBreak/>
              <w:t>8</w:t>
            </w:r>
          </w:p>
        </w:tc>
        <w:tc>
          <w:tcPr>
            <w:tcW w:w="3828"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5016" w:type="dxa"/>
          </w:tcPr>
          <w:p w:rsidR="00E238ED" w:rsidRPr="00E238ED" w:rsidRDefault="00E238ED" w:rsidP="00E238E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238ED">
              <w:rPr>
                <w:rFonts w:ascii="Times New Roman" w:eastAsiaTheme="minorHAnsi" w:hAnsi="Times New Roman" w:cs="Times New Roman"/>
                <w:sz w:val="20"/>
                <w:szCs w:val="20"/>
                <w:lang w:eastAsia="en-US"/>
              </w:rPr>
              <w:t xml:space="preserve">Победитель конкурса, участник конкурса в случаях, предусмотренных </w:t>
            </w:r>
            <w:hyperlink r:id="rId13" w:history="1">
              <w:r w:rsidRPr="00E238ED">
                <w:rPr>
                  <w:rFonts w:ascii="Times New Roman" w:eastAsiaTheme="minorHAnsi" w:hAnsi="Times New Roman" w:cs="Times New Roman"/>
                  <w:sz w:val="20"/>
                  <w:szCs w:val="20"/>
                  <w:lang w:eastAsia="en-US"/>
                </w:rPr>
                <w:t>пунктами 71</w:t>
              </w:r>
            </w:hyperlink>
            <w:r w:rsidRPr="00E238ED">
              <w:rPr>
                <w:rFonts w:ascii="Times New Roman" w:eastAsiaTheme="minorHAnsi" w:hAnsi="Times New Roman" w:cs="Times New Roman"/>
                <w:sz w:val="20"/>
                <w:szCs w:val="20"/>
                <w:lang w:eastAsia="en-US"/>
              </w:rPr>
              <w:t xml:space="preserve"> и </w:t>
            </w:r>
            <w:hyperlink r:id="rId14" w:history="1">
              <w:r w:rsidRPr="00E238ED">
                <w:rPr>
                  <w:rFonts w:ascii="Times New Roman" w:eastAsiaTheme="minorHAnsi" w:hAnsi="Times New Roman" w:cs="Times New Roman"/>
                  <w:sz w:val="20"/>
                  <w:szCs w:val="20"/>
                  <w:lang w:eastAsia="en-US"/>
                </w:rPr>
                <w:t>93</w:t>
              </w:r>
            </w:hyperlink>
            <w:r w:rsidRPr="00E238ED">
              <w:rPr>
                <w:rFonts w:ascii="Times New Roman" w:eastAsiaTheme="minorHAnsi" w:hAnsi="Times New Roman" w:cs="Times New Roman"/>
                <w:sz w:val="20"/>
                <w:szCs w:val="20"/>
                <w:lang w:eastAsia="en-US"/>
              </w:rPr>
              <w:t xml:space="preserve"> Правил</w:t>
            </w:r>
            <w:r w:rsidR="002516AE">
              <w:rPr>
                <w:rFonts w:ascii="Times New Roman" w:eastAsiaTheme="minorHAnsi" w:hAnsi="Times New Roman" w:cs="Times New Roman"/>
                <w:sz w:val="20"/>
                <w:szCs w:val="20"/>
                <w:lang w:eastAsia="en-US"/>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 Правительства РФ от 06.02.2006 г.  № 75 </w:t>
            </w:r>
            <w:r w:rsidR="002516AE">
              <w:rPr>
                <w:rFonts w:ascii="Times New Roman" w:eastAsiaTheme="minorHAnsi" w:hAnsi="Times New Roman" w:cs="Times New Roman"/>
                <w:sz w:val="20"/>
                <w:szCs w:val="20"/>
                <w:lang w:eastAsia="en-US"/>
              </w:rPr>
              <w:lastRenderedPageBreak/>
              <w:t>(далее – Правила)</w:t>
            </w:r>
            <w:r w:rsidRPr="00E238ED">
              <w:rPr>
                <w:rFonts w:ascii="Times New Roman" w:eastAsiaTheme="minorHAnsi" w:hAnsi="Times New Roman" w:cs="Times New Roman"/>
                <w:sz w:val="20"/>
                <w:szCs w:val="20"/>
                <w:lang w:eastAsia="en-US"/>
              </w:rPr>
              <w:t>,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72D54" w:rsidRPr="00947B0C" w:rsidRDefault="00E238ED" w:rsidP="002516AE">
            <w:pPr>
              <w:autoSpaceDE w:val="0"/>
              <w:autoSpaceDN w:val="0"/>
              <w:adjustRightInd w:val="0"/>
              <w:spacing w:after="0" w:line="240" w:lineRule="auto"/>
              <w:contextualSpacing/>
              <w:jc w:val="both"/>
              <w:rPr>
                <w:rFonts w:ascii="Times New Roman" w:hAnsi="Times New Roman" w:cs="Times New Roman"/>
                <w:sz w:val="20"/>
                <w:szCs w:val="20"/>
              </w:rPr>
            </w:pPr>
            <w:r w:rsidRPr="00E238ED">
              <w:rPr>
                <w:rFonts w:ascii="Times New Roman" w:eastAsiaTheme="minorHAnsi" w:hAnsi="Times New Roman" w:cs="Times New Roman"/>
                <w:sz w:val="20"/>
                <w:szCs w:val="20"/>
                <w:lang w:eastAsia="en-US"/>
              </w:rPr>
              <w:t xml:space="preserve">Победитель конкурса, участник конкурса в случаях, предусмотренных </w:t>
            </w:r>
            <w:hyperlink r:id="rId15" w:history="1">
              <w:r w:rsidRPr="00E238ED">
                <w:rPr>
                  <w:rFonts w:ascii="Times New Roman" w:eastAsiaTheme="minorHAnsi" w:hAnsi="Times New Roman" w:cs="Times New Roman"/>
                  <w:sz w:val="20"/>
                  <w:szCs w:val="20"/>
                  <w:lang w:eastAsia="en-US"/>
                </w:rPr>
                <w:t>пунктами 71</w:t>
              </w:r>
            </w:hyperlink>
            <w:r w:rsidRPr="00E238ED">
              <w:rPr>
                <w:rFonts w:ascii="Times New Roman" w:eastAsiaTheme="minorHAnsi" w:hAnsi="Times New Roman" w:cs="Times New Roman"/>
                <w:sz w:val="20"/>
                <w:szCs w:val="20"/>
                <w:lang w:eastAsia="en-US"/>
              </w:rPr>
              <w:t xml:space="preserve"> и </w:t>
            </w:r>
            <w:hyperlink r:id="rId16" w:history="1">
              <w:r w:rsidRPr="00E238ED">
                <w:rPr>
                  <w:rFonts w:ascii="Times New Roman" w:eastAsiaTheme="minorHAnsi" w:hAnsi="Times New Roman" w:cs="Times New Roman"/>
                  <w:sz w:val="20"/>
                  <w:szCs w:val="20"/>
                  <w:lang w:eastAsia="en-US"/>
                </w:rPr>
                <w:t>93</w:t>
              </w:r>
            </w:hyperlink>
            <w:r w:rsidRPr="00E238ED">
              <w:rPr>
                <w:rFonts w:ascii="Times New Roman" w:eastAsiaTheme="minorHAnsi" w:hAnsi="Times New Roman" w:cs="Times New Roman"/>
                <w:sz w:val="20"/>
                <w:szCs w:val="20"/>
                <w:lang w:eastAsia="en-US"/>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7" w:history="1">
              <w:r w:rsidRPr="00E238ED">
                <w:rPr>
                  <w:rFonts w:ascii="Times New Roman" w:eastAsiaTheme="minorHAnsi" w:hAnsi="Times New Roman" w:cs="Times New Roman"/>
                  <w:sz w:val="20"/>
                  <w:szCs w:val="20"/>
                  <w:lang w:eastAsia="en-US"/>
                </w:rPr>
                <w:t>статьей 445</w:t>
              </w:r>
            </w:hyperlink>
            <w:r w:rsidRPr="00E238ED">
              <w:rPr>
                <w:rFonts w:ascii="Times New Roman" w:eastAsiaTheme="minorHAnsi" w:hAnsi="Times New Roman" w:cs="Times New Roman"/>
                <w:sz w:val="20"/>
                <w:szCs w:val="20"/>
                <w:lang w:eastAsia="en-US"/>
              </w:rPr>
              <w:t xml:space="preserve"> Гражданского кодекса Российской Федерации.</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lastRenderedPageBreak/>
              <w:t>9</w:t>
            </w:r>
          </w:p>
        </w:tc>
        <w:tc>
          <w:tcPr>
            <w:tcW w:w="3828"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Требования к порядку изменения обязательств сторон по договору управления многоквартирным домом.</w:t>
            </w:r>
          </w:p>
        </w:tc>
        <w:tc>
          <w:tcPr>
            <w:tcW w:w="5016" w:type="dxa"/>
          </w:tcPr>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t>10</w:t>
            </w:r>
          </w:p>
        </w:tc>
        <w:tc>
          <w:tcPr>
            <w:tcW w:w="3828"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Срок начала выполнения обязательств управляющей организацией возникших по результатам конкурса обязательств.</w:t>
            </w:r>
          </w:p>
        </w:tc>
        <w:tc>
          <w:tcPr>
            <w:tcW w:w="5016" w:type="dxa"/>
          </w:tcPr>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Не более 30 календарных дней с даты подписания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t>11</w:t>
            </w:r>
          </w:p>
        </w:tc>
        <w:tc>
          <w:tcPr>
            <w:tcW w:w="3828" w:type="dxa"/>
          </w:tcPr>
          <w:p w:rsidR="00772D54" w:rsidRPr="00947B0C" w:rsidRDefault="00772D54" w:rsidP="00204506">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w:t>
            </w:r>
            <w:bookmarkStart w:id="4" w:name="_GoBack"/>
            <w:bookmarkEnd w:id="4"/>
            <w:r w:rsidRPr="00947B0C">
              <w:rPr>
                <w:rFonts w:ascii="Times New Roman" w:hAnsi="Times New Roman" w:cs="Times New Roman"/>
                <w:sz w:val="20"/>
                <w:szCs w:val="20"/>
              </w:rPr>
              <w:t>а также в случае причинения управляющей организацией вреда общему имуществу.</w:t>
            </w:r>
          </w:p>
        </w:tc>
        <w:tc>
          <w:tcPr>
            <w:tcW w:w="5016" w:type="dxa"/>
          </w:tcPr>
          <w:p w:rsidR="00772D54" w:rsidRPr="00E21FCA"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E21FCA">
              <w:rPr>
                <w:rFonts w:ascii="Times New Roman" w:hAnsi="Times New Roman" w:cs="Times New Roman"/>
                <w:sz w:val="20"/>
                <w:szCs w:val="20"/>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772D54" w:rsidRPr="00231480" w:rsidRDefault="00204506" w:rsidP="00231480">
            <w:pPr>
              <w:spacing w:after="160" w:line="259" w:lineRule="auto"/>
              <w:jc w:val="center"/>
              <w:rPr>
                <w:rFonts w:ascii="Times New Roman" w:eastAsiaTheme="minorHAnsi" w:hAnsi="Times New Roman" w:cs="Times New Roman"/>
                <w:sz w:val="52"/>
                <w:szCs w:val="52"/>
                <w:lang w:eastAsia="en-US"/>
              </w:rPr>
            </w:pP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О</m:t>
                  </m:r>
                </m:e>
                <m:sub>
                  <m:r>
                    <w:rPr>
                      <w:rFonts w:ascii="Cambria Math" w:eastAsiaTheme="minorHAnsi" w:hAnsi="Cambria Math" w:cs="Times New Roman"/>
                      <w:sz w:val="24"/>
                      <w:szCs w:val="24"/>
                      <w:lang w:eastAsia="en-US"/>
                    </w:rPr>
                    <m:t>оу = К ×</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 xml:space="preserve"> Р</m:t>
                      </m:r>
                    </m:e>
                    <m:sub>
                      <m:r>
                        <w:rPr>
                          <w:rFonts w:ascii="Cambria Math" w:eastAsiaTheme="minorHAnsi" w:hAnsi="Cambria Math" w:cs="Times New Roman"/>
                          <w:sz w:val="24"/>
                          <w:szCs w:val="24"/>
                          <w:lang w:eastAsia="en-US"/>
                        </w:rPr>
                        <m:t>ои</m:t>
                      </m:r>
                    </m:sub>
                  </m:sSub>
                </m:sub>
              </m:sSub>
            </m:oMath>
            <w:r w:rsidR="00772D54" w:rsidRPr="00E21FCA">
              <w:rPr>
                <w:rFonts w:ascii="Times New Roman" w:hAnsi="Times New Roman" w:cs="Times New Roman"/>
                <w:sz w:val="20"/>
                <w:szCs w:val="20"/>
              </w:rPr>
              <w:t>,</w:t>
            </w:r>
          </w:p>
          <w:p w:rsidR="00772D54" w:rsidRPr="00E21FCA"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E21FCA">
              <w:rPr>
                <w:rFonts w:ascii="Times New Roman" w:hAnsi="Times New Roman" w:cs="Times New Roman"/>
                <w:sz w:val="20"/>
                <w:szCs w:val="20"/>
              </w:rPr>
              <w:t>где:</w:t>
            </w:r>
          </w:p>
          <w:p w:rsidR="00772D54" w:rsidRPr="00E21FCA"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E21FCA">
              <w:rPr>
                <w:rFonts w:ascii="Times New Roman" w:hAnsi="Times New Roman" w:cs="Times New Roman"/>
                <w:noProof/>
                <w:position w:val="-14"/>
                <w:sz w:val="20"/>
                <w:szCs w:val="20"/>
              </w:rPr>
              <w:drawing>
                <wp:inline distT="0" distB="0" distL="0" distR="0" wp14:anchorId="246D030B" wp14:editId="051A7F03">
                  <wp:extent cx="248920" cy="24892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48920" cy="248920"/>
                          </a:xfrm>
                          <a:prstGeom prst="rect">
                            <a:avLst/>
                          </a:prstGeom>
                          <a:noFill/>
                          <a:ln w="9525">
                            <a:noFill/>
                            <a:miter lim="800000"/>
                            <a:headEnd/>
                            <a:tailEnd/>
                          </a:ln>
                        </pic:spPr>
                      </pic:pic>
                    </a:graphicData>
                  </a:graphic>
                </wp:inline>
              </w:drawing>
            </w:r>
            <w:r w:rsidRPr="00E21FCA">
              <w:rPr>
                <w:rFonts w:ascii="Times New Roman" w:hAnsi="Times New Roman" w:cs="Times New Roman"/>
                <w:sz w:val="20"/>
                <w:szCs w:val="20"/>
              </w:rPr>
              <w:t>- размер обеспечения исполнения обязательств;</w:t>
            </w:r>
          </w:p>
          <w:p w:rsidR="00772D54" w:rsidRPr="00E21FCA"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E21FCA">
              <w:rPr>
                <w:rFonts w:ascii="Times New Roman" w:hAnsi="Times New Roman" w:cs="Times New Roman"/>
                <w:sz w:val="20"/>
                <w:szCs w:val="20"/>
              </w:rPr>
              <w:lastRenderedPageBreak/>
              <w:t>К - коэффициент, установленный организатором конкурса в пределах от 0,5 до 0,75;</w:t>
            </w:r>
          </w:p>
          <w:p w:rsidR="00772D54" w:rsidRPr="00E21FCA"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E21FCA">
              <w:rPr>
                <w:rFonts w:ascii="Times New Roman" w:hAnsi="Times New Roman" w:cs="Times New Roman"/>
                <w:noProof/>
                <w:position w:val="-12"/>
                <w:sz w:val="20"/>
                <w:szCs w:val="20"/>
              </w:rPr>
              <w:drawing>
                <wp:inline distT="0" distB="0" distL="0" distR="0" wp14:anchorId="64874A8A" wp14:editId="35436FAB">
                  <wp:extent cx="226695" cy="226695"/>
                  <wp:effectExtent l="19050" t="0" r="190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Pr="00E21FCA">
              <w:rPr>
                <w:rFonts w:ascii="Times New Roman" w:hAnsi="Times New Roman" w:cs="Times New Roman"/>
                <w:sz w:val="20"/>
                <w:szCs w:val="20"/>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w:t>
            </w:r>
            <w:r w:rsidR="00D4166F">
              <w:rPr>
                <w:rFonts w:ascii="Times New Roman" w:hAnsi="Times New Roman" w:cs="Times New Roman"/>
                <w:sz w:val="20"/>
                <w:szCs w:val="20"/>
              </w:rPr>
              <w:t>зования) в многоквартирном доме (приложение№ 2)</w:t>
            </w:r>
          </w:p>
          <w:p w:rsidR="00772D54" w:rsidRPr="00E21FCA"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E21FCA">
              <w:rPr>
                <w:rFonts w:ascii="Times New Roman" w:hAnsi="Times New Roman" w:cs="Times New Roman"/>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72D54" w:rsidRPr="00E21FCA"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E21FCA">
              <w:rPr>
                <w:rFonts w:ascii="Times New Roman" w:hAnsi="Times New Roman" w:cs="Times New Roman"/>
                <w:sz w:val="20"/>
                <w:szCs w:val="20"/>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w:t>
            </w:r>
            <w:r w:rsidR="00231480">
              <w:rPr>
                <w:rFonts w:ascii="Times New Roman" w:hAnsi="Times New Roman" w:cs="Times New Roman"/>
                <w:sz w:val="20"/>
                <w:szCs w:val="20"/>
              </w:rPr>
              <w:t xml:space="preserve">. </w:t>
            </w:r>
            <w:r w:rsidRPr="00E21FCA">
              <w:rPr>
                <w:rFonts w:ascii="Times New Roman" w:hAnsi="Times New Roman" w:cs="Times New Roman"/>
                <w:sz w:val="20"/>
                <w:szCs w:val="20"/>
              </w:rPr>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AD06BB" w:rsidRPr="00E21FCA" w:rsidRDefault="00AD06BB" w:rsidP="00AD06BB">
            <w:pPr>
              <w:pStyle w:val="3"/>
              <w:numPr>
                <w:ilvl w:val="0"/>
                <w:numId w:val="0"/>
              </w:numPr>
              <w:contextualSpacing/>
              <w:rPr>
                <w:sz w:val="20"/>
              </w:rPr>
            </w:pPr>
            <w:r w:rsidRPr="00E21FCA">
              <w:rPr>
                <w:sz w:val="20"/>
              </w:rPr>
              <w:t xml:space="preserve">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AD06BB" w:rsidRPr="00E21FCA" w:rsidRDefault="00AD06BB" w:rsidP="00AD06BB">
            <w:pPr>
              <w:pStyle w:val="3"/>
              <w:numPr>
                <w:ilvl w:val="0"/>
                <w:numId w:val="0"/>
              </w:numPr>
              <w:contextualSpacing/>
              <w:rPr>
                <w:sz w:val="20"/>
              </w:rPr>
            </w:pPr>
            <w:r w:rsidRPr="00E21FCA">
              <w:rPr>
                <w:sz w:val="20"/>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конкурсной документации.</w:t>
            </w:r>
          </w:p>
          <w:p w:rsidR="00AD06BB" w:rsidRPr="00E21FCA" w:rsidRDefault="00AD06BB" w:rsidP="00AD06BB">
            <w:pPr>
              <w:pStyle w:val="3"/>
              <w:numPr>
                <w:ilvl w:val="0"/>
                <w:numId w:val="0"/>
              </w:numPr>
              <w:contextualSpacing/>
              <w:rPr>
                <w:sz w:val="20"/>
              </w:rPr>
            </w:pPr>
            <w:r w:rsidRPr="00E21FCA">
              <w:rPr>
                <w:sz w:val="20"/>
              </w:rPr>
              <w:t>Срок действия банковской гарантии должен устанавливаться с учетом установленного срока действия договоров у</w:t>
            </w:r>
            <w:r w:rsidR="00231480">
              <w:rPr>
                <w:sz w:val="20"/>
              </w:rPr>
              <w:t>правления многоквартирным домом</w:t>
            </w:r>
            <w:r w:rsidRPr="00E21FCA">
              <w:rPr>
                <w:sz w:val="20"/>
              </w:rPr>
              <w:t xml:space="preserve">. </w:t>
            </w:r>
          </w:p>
          <w:p w:rsidR="00AD06BB" w:rsidRPr="00E21FCA" w:rsidRDefault="00AD06BB" w:rsidP="00AD06BB">
            <w:pPr>
              <w:pStyle w:val="3"/>
              <w:numPr>
                <w:ilvl w:val="0"/>
                <w:numId w:val="0"/>
              </w:numPr>
              <w:contextualSpacing/>
              <w:rPr>
                <w:sz w:val="20"/>
              </w:rPr>
            </w:pPr>
            <w:r w:rsidRPr="00E21FCA">
              <w:rPr>
                <w:sz w:val="20"/>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не освобождают его от обязательств по соответствующей банковской гарантии. </w:t>
            </w:r>
          </w:p>
          <w:p w:rsidR="00AD06BB" w:rsidRPr="00E21FCA" w:rsidRDefault="00AD06BB" w:rsidP="00AD06BB">
            <w:pPr>
              <w:pStyle w:val="3"/>
              <w:numPr>
                <w:ilvl w:val="0"/>
                <w:numId w:val="0"/>
              </w:numPr>
              <w:contextualSpacing/>
              <w:rPr>
                <w:sz w:val="20"/>
              </w:rPr>
            </w:pPr>
            <w:r w:rsidRPr="00E21FCA">
              <w:rPr>
                <w:sz w:val="20"/>
              </w:rPr>
              <w:t xml:space="preserve">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AD06BB" w:rsidRPr="00E21FCA" w:rsidRDefault="00AD06BB" w:rsidP="00AD06BB">
            <w:pPr>
              <w:pStyle w:val="3"/>
              <w:numPr>
                <w:ilvl w:val="0"/>
                <w:numId w:val="0"/>
              </w:numPr>
              <w:contextualSpacing/>
              <w:rPr>
                <w:sz w:val="20"/>
              </w:rPr>
            </w:pPr>
            <w:r w:rsidRPr="00E21FCA">
              <w:rPr>
                <w:sz w:val="20"/>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AD06BB" w:rsidRPr="00E21FCA" w:rsidRDefault="00AD06BB" w:rsidP="00AD06BB">
            <w:pPr>
              <w:pStyle w:val="3"/>
              <w:numPr>
                <w:ilvl w:val="0"/>
                <w:numId w:val="0"/>
              </w:numPr>
              <w:contextualSpacing/>
              <w:rPr>
                <w:sz w:val="20"/>
              </w:rPr>
            </w:pPr>
            <w:r w:rsidRPr="00E21FCA">
              <w:rPr>
                <w:sz w:val="20"/>
              </w:rPr>
              <w:t xml:space="preserve">Страхование должно покрывать случаи виновного </w:t>
            </w:r>
            <w:r w:rsidRPr="00E21FCA">
              <w:rPr>
                <w:sz w:val="20"/>
              </w:rPr>
              <w:lastRenderedPageBreak/>
              <w:t xml:space="preserve">неисполнения или ненадлежащего исполнения управляющей организацией своих обязательств в течение действия договора управления многоквартирным домом. </w:t>
            </w:r>
          </w:p>
          <w:p w:rsidR="00AD06BB" w:rsidRPr="00E21FCA" w:rsidRDefault="00AD06BB" w:rsidP="00AD06BB">
            <w:pPr>
              <w:pStyle w:val="3"/>
              <w:numPr>
                <w:ilvl w:val="0"/>
                <w:numId w:val="0"/>
              </w:numPr>
              <w:contextualSpacing/>
              <w:rPr>
                <w:sz w:val="20"/>
              </w:rPr>
            </w:pPr>
            <w:r w:rsidRPr="00E21FCA">
              <w:rPr>
                <w:sz w:val="20"/>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не освобождают его от обязательств по соответствующему договору страхования. </w:t>
            </w:r>
          </w:p>
          <w:p w:rsidR="00AD06BB" w:rsidRPr="00E21FCA" w:rsidRDefault="00AD06BB" w:rsidP="00AD06BB">
            <w:pPr>
              <w:pStyle w:val="3"/>
              <w:numPr>
                <w:ilvl w:val="0"/>
                <w:numId w:val="0"/>
              </w:numPr>
              <w:contextualSpacing/>
              <w:rPr>
                <w:sz w:val="20"/>
              </w:rPr>
            </w:pPr>
            <w:r w:rsidRPr="00E21FCA">
              <w:rPr>
                <w:sz w:val="20"/>
              </w:rPr>
              <w:t xml:space="preserve">Залог депозита, вносимый в обеспечение исполнения обязательств должен быть перечислен </w:t>
            </w:r>
            <w:r w:rsidRPr="00231480">
              <w:rPr>
                <w:sz w:val="20"/>
              </w:rPr>
              <w:t>в размере, установленном в конкурсной документации на счет, указанный в конкурсной документации.</w:t>
            </w:r>
            <w:r w:rsidRPr="00E21FCA">
              <w:rPr>
                <w:sz w:val="20"/>
              </w:rPr>
              <w:t xml:space="preserve"> </w:t>
            </w:r>
            <w:bookmarkStart w:id="5" w:name="OLE_LINK19"/>
          </w:p>
          <w:bookmarkEnd w:id="5"/>
          <w:p w:rsidR="00AD06BB" w:rsidRPr="00E21FCA" w:rsidRDefault="00AD06BB" w:rsidP="00AD06BB">
            <w:pPr>
              <w:spacing w:after="0" w:line="240" w:lineRule="auto"/>
              <w:contextualSpacing/>
              <w:jc w:val="both"/>
              <w:rPr>
                <w:rFonts w:ascii="Times New Roman" w:hAnsi="Times New Roman" w:cs="Times New Roman"/>
                <w:sz w:val="20"/>
                <w:szCs w:val="20"/>
              </w:rPr>
            </w:pPr>
            <w:r w:rsidRPr="00E21FCA">
              <w:rPr>
                <w:rFonts w:ascii="Times New Roman" w:hAnsi="Times New Roman" w:cs="Times New Roman"/>
                <w:sz w:val="20"/>
                <w:szCs w:val="20"/>
              </w:rPr>
              <w:t>Факт внесения залога депозита в обеспечение исполнения обязательств подтверждается платежным поручением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D06BB" w:rsidRPr="00E21FCA" w:rsidRDefault="00AD06BB" w:rsidP="00AD06BB">
            <w:pPr>
              <w:spacing w:after="0" w:line="240" w:lineRule="auto"/>
              <w:contextualSpacing/>
              <w:jc w:val="both"/>
              <w:rPr>
                <w:rFonts w:ascii="Times New Roman" w:hAnsi="Times New Roman" w:cs="Times New Roman"/>
                <w:sz w:val="20"/>
                <w:szCs w:val="20"/>
              </w:rPr>
            </w:pPr>
            <w:r w:rsidRPr="00E21FCA">
              <w:rPr>
                <w:rFonts w:ascii="Times New Roman" w:hAnsi="Times New Roman" w:cs="Times New Roman"/>
                <w:sz w:val="20"/>
                <w:szCs w:val="20"/>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AD06BB" w:rsidRPr="00E21FCA" w:rsidRDefault="00AD06BB" w:rsidP="00AD06BB">
            <w:pPr>
              <w:autoSpaceDE w:val="0"/>
              <w:autoSpaceDN w:val="0"/>
              <w:adjustRightInd w:val="0"/>
              <w:spacing w:after="0" w:line="240" w:lineRule="auto"/>
              <w:contextualSpacing/>
              <w:jc w:val="both"/>
              <w:rPr>
                <w:rFonts w:ascii="Times New Roman" w:hAnsi="Times New Roman" w:cs="Times New Roman"/>
                <w:sz w:val="20"/>
                <w:szCs w:val="20"/>
              </w:rPr>
            </w:pPr>
            <w:r w:rsidRPr="00E21FCA">
              <w:rPr>
                <w:rFonts w:ascii="Times New Roman" w:hAnsi="Times New Roman" w:cs="Times New Roman"/>
                <w:sz w:val="20"/>
                <w:szCs w:val="20"/>
              </w:rPr>
              <w:t>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lastRenderedPageBreak/>
              <w:t>12</w:t>
            </w:r>
          </w:p>
        </w:tc>
        <w:tc>
          <w:tcPr>
            <w:tcW w:w="3828"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tc>
        <w:tc>
          <w:tcPr>
            <w:tcW w:w="5016" w:type="dxa"/>
          </w:tcPr>
          <w:p w:rsidR="00EC08B6" w:rsidRPr="00FB609D" w:rsidRDefault="00EC08B6" w:rsidP="00EC08B6">
            <w:pPr>
              <w:pStyle w:val="a4"/>
              <w:spacing w:after="0" w:line="240" w:lineRule="auto"/>
              <w:ind w:left="76" w:right="31"/>
              <w:jc w:val="both"/>
              <w:rPr>
                <w:rFonts w:ascii="Times New Roman" w:hAnsi="Times New Roman"/>
                <w:bCs/>
                <w:sz w:val="20"/>
                <w:szCs w:val="20"/>
                <w:lang w:eastAsia="ru-RU"/>
              </w:rPr>
            </w:pPr>
            <w:r w:rsidRPr="00FB609D">
              <w:rPr>
                <w:rFonts w:ascii="Times New Roman" w:hAnsi="Times New Roman"/>
                <w:bCs/>
                <w:sz w:val="20"/>
                <w:szCs w:val="20"/>
                <w:lang w:eastAsia="ru-RU"/>
              </w:rPr>
              <w:t>Собственники помещений в многоквартирном доме оплачивают только фактически выполненные работы и услуги по содержанию и ремонту общего имущества в случае неисполнения либо ненадлежащего исполнения управляющей организацией обязательств в соответствии с порядком, установленном Правительством Российской Федерации, предусмотрено проектом договора управления многоквартирным домом.</w:t>
            </w:r>
          </w:p>
          <w:p w:rsidR="00772D54" w:rsidRPr="00947B0C" w:rsidRDefault="00772D54" w:rsidP="00EC08B6">
            <w:pPr>
              <w:keepNext/>
              <w:widowControl w:val="0"/>
              <w:suppressLineNumbers/>
              <w:suppressAutoHyphens/>
              <w:ind w:left="76" w:right="31"/>
              <w:jc w:val="both"/>
              <w:rPr>
                <w:rFonts w:ascii="Times New Roman" w:hAnsi="Times New Roman" w:cs="Times New Roman"/>
                <w:sz w:val="20"/>
                <w:szCs w:val="20"/>
              </w:rPr>
            </w:pP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t>13</w:t>
            </w:r>
          </w:p>
        </w:tc>
        <w:tc>
          <w:tcPr>
            <w:tcW w:w="3828"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5016"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772D54" w:rsidRPr="00947B0C" w:rsidRDefault="00772D54" w:rsidP="0099705C">
            <w:pPr>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lastRenderedPageBreak/>
              <w:t>Собственник помещения в многоквартирном доме и лица, принявшего помещения,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772D54" w:rsidRPr="00072787" w:rsidTr="00772D54">
        <w:tc>
          <w:tcPr>
            <w:tcW w:w="1247" w:type="dxa"/>
          </w:tcPr>
          <w:p w:rsidR="00772D54" w:rsidRPr="00947B0C" w:rsidRDefault="00772D54" w:rsidP="0099705C">
            <w:pPr>
              <w:spacing w:after="0" w:line="240" w:lineRule="auto"/>
              <w:contextualSpacing/>
              <w:jc w:val="center"/>
              <w:rPr>
                <w:rFonts w:ascii="Times New Roman" w:hAnsi="Times New Roman" w:cs="Times New Roman"/>
                <w:sz w:val="20"/>
                <w:szCs w:val="20"/>
              </w:rPr>
            </w:pPr>
            <w:r w:rsidRPr="00947B0C">
              <w:rPr>
                <w:rFonts w:ascii="Times New Roman" w:hAnsi="Times New Roman" w:cs="Times New Roman"/>
                <w:sz w:val="20"/>
                <w:szCs w:val="20"/>
              </w:rPr>
              <w:lastRenderedPageBreak/>
              <w:t>14</w:t>
            </w:r>
          </w:p>
        </w:tc>
        <w:tc>
          <w:tcPr>
            <w:tcW w:w="3828" w:type="dxa"/>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Срок действия договоров управления многоквартирным домом</w:t>
            </w:r>
          </w:p>
        </w:tc>
        <w:tc>
          <w:tcPr>
            <w:tcW w:w="5016" w:type="dxa"/>
          </w:tcPr>
          <w:p w:rsidR="00772D54" w:rsidRPr="00947B0C" w:rsidRDefault="00772D54" w:rsidP="0099705C">
            <w:pPr>
              <w:pStyle w:val="ConsPlusNormal"/>
              <w:contextualSpacing/>
              <w:jc w:val="both"/>
              <w:rPr>
                <w:rFonts w:ascii="Times New Roman" w:hAnsi="Times New Roman" w:cs="Times New Roman"/>
              </w:rPr>
            </w:pPr>
            <w:r w:rsidRPr="00947B0C">
              <w:rPr>
                <w:rFonts w:ascii="Times New Roman" w:hAnsi="Times New Roman" w:cs="Times New Roman"/>
              </w:rPr>
              <w:t>Договор</w:t>
            </w:r>
            <w:r w:rsidR="00D73464">
              <w:rPr>
                <w:rFonts w:ascii="Times New Roman" w:hAnsi="Times New Roman" w:cs="Times New Roman"/>
              </w:rPr>
              <w:t>ы</w:t>
            </w:r>
            <w:r w:rsidRPr="00947B0C">
              <w:rPr>
                <w:rFonts w:ascii="Times New Roman" w:hAnsi="Times New Roman" w:cs="Times New Roman"/>
              </w:rPr>
              <w:t xml:space="preserve"> заключаются сроком на три года и вступают в силу с момента их подписания сторонами.</w:t>
            </w:r>
          </w:p>
          <w:p w:rsidR="00772D54" w:rsidRPr="00947B0C" w:rsidRDefault="00772D54" w:rsidP="0099705C">
            <w:pPr>
              <w:pStyle w:val="ConsPlusNormal"/>
              <w:contextualSpacing/>
              <w:jc w:val="both"/>
              <w:rPr>
                <w:rFonts w:ascii="Times New Roman" w:hAnsi="Times New Roman" w:cs="Times New Roman"/>
              </w:rPr>
            </w:pPr>
            <w:r w:rsidRPr="00947B0C">
              <w:rPr>
                <w:rFonts w:ascii="Times New Roman" w:hAnsi="Times New Roman" w:cs="Times New Roman"/>
              </w:rPr>
              <w:t>Договора продлеваются не более чем на три месяца, в следующих случаях:</w:t>
            </w:r>
          </w:p>
          <w:p w:rsidR="00772D54" w:rsidRPr="00947B0C" w:rsidRDefault="00772D54" w:rsidP="0099705C">
            <w:pPr>
              <w:pStyle w:val="ConsPlusNormal"/>
              <w:contextualSpacing/>
              <w:jc w:val="both"/>
              <w:rPr>
                <w:rFonts w:ascii="Times New Roman" w:hAnsi="Times New Roman" w:cs="Times New Roman"/>
              </w:rPr>
            </w:pPr>
            <w:r w:rsidRPr="00947B0C">
              <w:rPr>
                <w:rFonts w:ascii="Times New Roman" w:hAnsi="Times New Roman" w:cs="Times New Roman"/>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0" w:tooltip="&quot;Жилищный кодекс Российской Федерации&quot; от 29.12.2004 N 188-ФЗ (ред. от 21.07.2014){КонсультантПлюс}" w:history="1">
              <w:r w:rsidRPr="00947B0C">
                <w:rPr>
                  <w:rFonts w:ascii="Times New Roman" w:hAnsi="Times New Roman" w:cs="Times New Roman"/>
                </w:rPr>
                <w:t>статьей 164</w:t>
              </w:r>
            </w:hyperlink>
            <w:r w:rsidRPr="00947B0C">
              <w:rPr>
                <w:rFonts w:ascii="Times New Roman" w:hAnsi="Times New Roman" w:cs="Times New Roman"/>
              </w:rPr>
              <w:t xml:space="preserve"> Жилищного кодекса Российской Федерации, с лицами, осуществляющими соответствующие виды деятельности;</w:t>
            </w:r>
          </w:p>
          <w:p w:rsidR="00772D54" w:rsidRPr="00947B0C" w:rsidRDefault="00772D54" w:rsidP="0099705C">
            <w:pPr>
              <w:pStyle w:val="ConsPlusNormal"/>
              <w:contextualSpacing/>
              <w:jc w:val="both"/>
              <w:rPr>
                <w:rFonts w:ascii="Times New Roman" w:hAnsi="Times New Roman" w:cs="Times New Roman"/>
              </w:rPr>
            </w:pPr>
            <w:r w:rsidRPr="00947B0C">
              <w:rPr>
                <w:rFonts w:ascii="Times New Roman" w:hAnsi="Times New Roman" w:cs="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72D54" w:rsidRPr="00947B0C" w:rsidRDefault="00772D54" w:rsidP="0099705C">
            <w:pPr>
              <w:pStyle w:val="ConsPlusNormal"/>
              <w:contextualSpacing/>
              <w:jc w:val="both"/>
              <w:rPr>
                <w:rFonts w:ascii="Times New Roman" w:hAnsi="Times New Roman" w:cs="Times New Roman"/>
              </w:rPr>
            </w:pPr>
            <w:r w:rsidRPr="00947B0C">
              <w:rPr>
                <w:rFonts w:ascii="Times New Roman" w:hAnsi="Times New Roman" w:cs="Times New Roman"/>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72D54" w:rsidRPr="00947B0C" w:rsidRDefault="00772D54" w:rsidP="0099705C">
            <w:pPr>
              <w:pStyle w:val="ConsPlusNormal"/>
              <w:contextualSpacing/>
              <w:jc w:val="both"/>
              <w:rPr>
                <w:rFonts w:ascii="Times New Roman" w:hAnsi="Times New Roman" w:cs="Times New Roman"/>
              </w:rPr>
            </w:pPr>
            <w:r w:rsidRPr="00947B0C">
              <w:rPr>
                <w:rFonts w:ascii="Times New Roman" w:hAnsi="Times New Roman" w:cs="Times New Roman"/>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772D54" w:rsidRPr="00072787" w:rsidTr="00772D54">
        <w:trPr>
          <w:trHeight w:val="443"/>
        </w:trPr>
        <w:tc>
          <w:tcPr>
            <w:tcW w:w="5075" w:type="dxa"/>
            <w:gridSpan w:val="2"/>
            <w:vMerge w:val="restart"/>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r w:rsidRPr="00947B0C">
              <w:rPr>
                <w:rFonts w:ascii="Times New Roman" w:hAnsi="Times New Roman" w:cs="Times New Roman"/>
                <w:sz w:val="20"/>
                <w:szCs w:val="20"/>
              </w:rPr>
              <w:t>К настоящей документации прилагаются и являются неотъемлемой частью:</w:t>
            </w:r>
          </w:p>
        </w:tc>
        <w:tc>
          <w:tcPr>
            <w:tcW w:w="5016" w:type="dxa"/>
          </w:tcPr>
          <w:p w:rsidR="00772D54" w:rsidRPr="00947B0C" w:rsidRDefault="00772D54" w:rsidP="0099705C">
            <w:pPr>
              <w:pStyle w:val="ConsPlusNonformat"/>
              <w:contextualSpacing/>
              <w:jc w:val="both"/>
              <w:rPr>
                <w:rFonts w:ascii="Times New Roman" w:hAnsi="Times New Roman" w:cs="Times New Roman"/>
              </w:rPr>
            </w:pPr>
            <w:r w:rsidRPr="00947B0C">
              <w:rPr>
                <w:rFonts w:ascii="Times New Roman" w:hAnsi="Times New Roman" w:cs="Times New Roman"/>
              </w:rPr>
              <w:t>Приложение № 1 - Акты о состоянии общего имущества собственников помещений в многоквартирном доме, являющегося объектом конкурса;</w:t>
            </w:r>
          </w:p>
        </w:tc>
      </w:tr>
      <w:tr w:rsidR="00772D54" w:rsidRPr="00072787" w:rsidTr="00772D54">
        <w:trPr>
          <w:trHeight w:val="282"/>
        </w:trPr>
        <w:tc>
          <w:tcPr>
            <w:tcW w:w="5075" w:type="dxa"/>
            <w:gridSpan w:val="2"/>
            <w:vMerge/>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p>
        </w:tc>
        <w:tc>
          <w:tcPr>
            <w:tcW w:w="5016" w:type="dxa"/>
          </w:tcPr>
          <w:p w:rsidR="00772D54" w:rsidRPr="00947B0C" w:rsidRDefault="00982C3A" w:rsidP="0099705C">
            <w:pPr>
              <w:pStyle w:val="ConsPlusNonformat"/>
              <w:contextualSpacing/>
              <w:jc w:val="both"/>
              <w:rPr>
                <w:rFonts w:ascii="Times New Roman" w:hAnsi="Times New Roman" w:cs="Times New Roman"/>
              </w:rPr>
            </w:pPr>
            <w:r>
              <w:rPr>
                <w:rFonts w:ascii="Times New Roman" w:hAnsi="Times New Roman" w:cs="Times New Roman"/>
              </w:rPr>
              <w:t>Приложение № 2 - Р</w:t>
            </w:r>
            <w:r w:rsidR="00772D54" w:rsidRPr="00947B0C">
              <w:rPr>
                <w:rFonts w:ascii="Times New Roman" w:hAnsi="Times New Roman" w:cs="Times New Roman"/>
              </w:rPr>
              <w:t>еестр лотов</w:t>
            </w:r>
          </w:p>
        </w:tc>
      </w:tr>
      <w:tr w:rsidR="00772D54" w:rsidRPr="00072787" w:rsidTr="00772D54">
        <w:trPr>
          <w:trHeight w:val="282"/>
        </w:trPr>
        <w:tc>
          <w:tcPr>
            <w:tcW w:w="5075" w:type="dxa"/>
            <w:gridSpan w:val="2"/>
            <w:vMerge/>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p>
        </w:tc>
        <w:tc>
          <w:tcPr>
            <w:tcW w:w="5016" w:type="dxa"/>
          </w:tcPr>
          <w:p w:rsidR="00772D54" w:rsidRPr="00947B0C" w:rsidRDefault="00772D54" w:rsidP="00DA02D2">
            <w:pPr>
              <w:pStyle w:val="ConsPlusNonformat"/>
              <w:contextualSpacing/>
              <w:jc w:val="both"/>
              <w:rPr>
                <w:rFonts w:ascii="Times New Roman" w:hAnsi="Times New Roman" w:cs="Times New Roman"/>
              </w:rPr>
            </w:pPr>
            <w:r w:rsidRPr="00947B0C">
              <w:rPr>
                <w:rFonts w:ascii="Times New Roman" w:hAnsi="Times New Roman" w:cs="Times New Roman"/>
              </w:rPr>
              <w:t>Приложение № 3 - Перечень работ и услуг;</w:t>
            </w:r>
          </w:p>
        </w:tc>
      </w:tr>
      <w:tr w:rsidR="00772D54" w:rsidRPr="00072787" w:rsidTr="00772D54">
        <w:trPr>
          <w:trHeight w:val="308"/>
        </w:trPr>
        <w:tc>
          <w:tcPr>
            <w:tcW w:w="5075" w:type="dxa"/>
            <w:gridSpan w:val="2"/>
            <w:vMerge/>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p>
        </w:tc>
        <w:tc>
          <w:tcPr>
            <w:tcW w:w="5016" w:type="dxa"/>
          </w:tcPr>
          <w:p w:rsidR="00772D54" w:rsidRPr="00947B0C" w:rsidRDefault="00772D54" w:rsidP="00D73464">
            <w:pPr>
              <w:pStyle w:val="ConsPlusNonformat"/>
              <w:contextualSpacing/>
              <w:jc w:val="both"/>
              <w:rPr>
                <w:rFonts w:ascii="Times New Roman" w:hAnsi="Times New Roman" w:cs="Times New Roman"/>
              </w:rPr>
            </w:pPr>
            <w:r w:rsidRPr="00947B0C">
              <w:rPr>
                <w:rFonts w:ascii="Times New Roman" w:hAnsi="Times New Roman" w:cs="Times New Roman"/>
              </w:rPr>
              <w:t xml:space="preserve">Приложение № 4 - </w:t>
            </w:r>
            <w:r w:rsidR="00D73464">
              <w:rPr>
                <w:rFonts w:ascii="Times New Roman" w:hAnsi="Times New Roman" w:cs="Times New Roman"/>
              </w:rPr>
              <w:t>Г</w:t>
            </w:r>
            <w:r w:rsidR="00D73464" w:rsidRPr="00947B0C">
              <w:rPr>
                <w:rFonts w:ascii="Times New Roman" w:hAnsi="Times New Roman" w:cs="Times New Roman"/>
              </w:rPr>
              <w:t>рафик производства осмотров</w:t>
            </w:r>
            <w:r w:rsidRPr="00947B0C">
              <w:rPr>
                <w:rFonts w:ascii="Times New Roman" w:hAnsi="Times New Roman" w:cs="Times New Roman"/>
              </w:rPr>
              <w:t>;</w:t>
            </w:r>
          </w:p>
        </w:tc>
      </w:tr>
      <w:tr w:rsidR="00772D54" w:rsidRPr="00072787" w:rsidTr="00772D54">
        <w:trPr>
          <w:trHeight w:val="308"/>
        </w:trPr>
        <w:tc>
          <w:tcPr>
            <w:tcW w:w="5075" w:type="dxa"/>
            <w:gridSpan w:val="2"/>
            <w:vMerge/>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p>
        </w:tc>
        <w:tc>
          <w:tcPr>
            <w:tcW w:w="5016" w:type="dxa"/>
          </w:tcPr>
          <w:p w:rsidR="00772D54" w:rsidRPr="00947B0C" w:rsidRDefault="00772D54" w:rsidP="00D73464">
            <w:pPr>
              <w:pStyle w:val="ConsPlusNonformat"/>
              <w:contextualSpacing/>
              <w:jc w:val="both"/>
              <w:rPr>
                <w:rFonts w:ascii="Times New Roman" w:hAnsi="Times New Roman" w:cs="Times New Roman"/>
              </w:rPr>
            </w:pPr>
            <w:r w:rsidRPr="00947B0C">
              <w:rPr>
                <w:rFonts w:ascii="Times New Roman" w:hAnsi="Times New Roman" w:cs="Times New Roman"/>
              </w:rPr>
              <w:t>Приложение №</w:t>
            </w:r>
            <w:r w:rsidR="00982C3A">
              <w:rPr>
                <w:rFonts w:ascii="Times New Roman" w:hAnsi="Times New Roman" w:cs="Times New Roman"/>
              </w:rPr>
              <w:t xml:space="preserve"> </w:t>
            </w:r>
            <w:r w:rsidR="00982C3A" w:rsidRPr="00DE1F03">
              <w:rPr>
                <w:rFonts w:ascii="Times New Roman" w:hAnsi="Times New Roman" w:cs="Times New Roman"/>
              </w:rPr>
              <w:t xml:space="preserve">5 </w:t>
            </w:r>
            <w:r w:rsidR="00DE1F03" w:rsidRPr="00DE1F03">
              <w:rPr>
                <w:rFonts w:ascii="Times New Roman" w:hAnsi="Times New Roman" w:cs="Times New Roman"/>
              </w:rPr>
              <w:t>–</w:t>
            </w:r>
            <w:r w:rsidR="00982C3A" w:rsidRPr="00DE1F03">
              <w:rPr>
                <w:rFonts w:ascii="Times New Roman" w:hAnsi="Times New Roman" w:cs="Times New Roman"/>
              </w:rPr>
              <w:t xml:space="preserve"> </w:t>
            </w:r>
            <w:r w:rsidR="00DE1F03" w:rsidRPr="00DE1F03">
              <w:rPr>
                <w:rFonts w:ascii="Times New Roman" w:hAnsi="Times New Roman" w:cs="Times New Roman"/>
              </w:rPr>
              <w:t>Размер обеспечения заявки</w:t>
            </w:r>
            <w:r w:rsidRPr="00DE1F03">
              <w:rPr>
                <w:rFonts w:ascii="Times New Roman" w:hAnsi="Times New Roman" w:cs="Times New Roman"/>
              </w:rPr>
              <w:t>;</w:t>
            </w:r>
          </w:p>
        </w:tc>
      </w:tr>
      <w:tr w:rsidR="00D73464" w:rsidRPr="00072787" w:rsidTr="00772D54">
        <w:trPr>
          <w:trHeight w:val="308"/>
        </w:trPr>
        <w:tc>
          <w:tcPr>
            <w:tcW w:w="5075" w:type="dxa"/>
            <w:gridSpan w:val="2"/>
            <w:vMerge/>
          </w:tcPr>
          <w:p w:rsidR="00D73464" w:rsidRPr="00947B0C" w:rsidRDefault="00D73464" w:rsidP="0099705C">
            <w:pPr>
              <w:autoSpaceDE w:val="0"/>
              <w:autoSpaceDN w:val="0"/>
              <w:adjustRightInd w:val="0"/>
              <w:spacing w:after="0" w:line="240" w:lineRule="auto"/>
              <w:contextualSpacing/>
              <w:jc w:val="both"/>
              <w:rPr>
                <w:rFonts w:ascii="Times New Roman" w:hAnsi="Times New Roman" w:cs="Times New Roman"/>
                <w:sz w:val="20"/>
                <w:szCs w:val="20"/>
              </w:rPr>
            </w:pPr>
          </w:p>
        </w:tc>
        <w:tc>
          <w:tcPr>
            <w:tcW w:w="5016" w:type="dxa"/>
          </w:tcPr>
          <w:p w:rsidR="00D73464" w:rsidRPr="00947B0C" w:rsidRDefault="00D73464" w:rsidP="0099705C">
            <w:pPr>
              <w:pStyle w:val="ConsPlusNonformat"/>
              <w:contextualSpacing/>
              <w:jc w:val="both"/>
              <w:rPr>
                <w:rFonts w:ascii="Times New Roman" w:hAnsi="Times New Roman" w:cs="Times New Roman"/>
              </w:rPr>
            </w:pPr>
            <w:r w:rsidRPr="00947B0C">
              <w:rPr>
                <w:rFonts w:ascii="Times New Roman" w:hAnsi="Times New Roman" w:cs="Times New Roman"/>
              </w:rPr>
              <w:t>Приложение №</w:t>
            </w:r>
            <w:r>
              <w:rPr>
                <w:rFonts w:ascii="Times New Roman" w:hAnsi="Times New Roman" w:cs="Times New Roman"/>
              </w:rPr>
              <w:t xml:space="preserve"> 6 - </w:t>
            </w:r>
            <w:r w:rsidRPr="00072787">
              <w:rPr>
                <w:rFonts w:ascii="Times New Roman" w:hAnsi="Times New Roman" w:cs="Times New Roman"/>
              </w:rPr>
              <w:t>Форма заявки на участие в конкурсе</w:t>
            </w:r>
            <w:r>
              <w:rPr>
                <w:rFonts w:ascii="Times New Roman" w:hAnsi="Times New Roman" w:cs="Times New Roman"/>
              </w:rPr>
              <w:t>;</w:t>
            </w:r>
          </w:p>
        </w:tc>
      </w:tr>
      <w:tr w:rsidR="00772D54" w:rsidRPr="00072787" w:rsidTr="00772D54">
        <w:trPr>
          <w:trHeight w:val="308"/>
        </w:trPr>
        <w:tc>
          <w:tcPr>
            <w:tcW w:w="5075" w:type="dxa"/>
            <w:gridSpan w:val="2"/>
            <w:vMerge/>
          </w:tcPr>
          <w:p w:rsidR="00772D54" w:rsidRPr="00947B0C" w:rsidRDefault="00772D54" w:rsidP="0099705C">
            <w:pPr>
              <w:autoSpaceDE w:val="0"/>
              <w:autoSpaceDN w:val="0"/>
              <w:adjustRightInd w:val="0"/>
              <w:spacing w:after="0" w:line="240" w:lineRule="auto"/>
              <w:contextualSpacing/>
              <w:jc w:val="both"/>
              <w:rPr>
                <w:rFonts w:ascii="Times New Roman" w:hAnsi="Times New Roman" w:cs="Times New Roman"/>
                <w:sz w:val="20"/>
                <w:szCs w:val="20"/>
              </w:rPr>
            </w:pPr>
          </w:p>
        </w:tc>
        <w:tc>
          <w:tcPr>
            <w:tcW w:w="5016" w:type="dxa"/>
          </w:tcPr>
          <w:p w:rsidR="00772D54" w:rsidRPr="00947B0C" w:rsidRDefault="00772D54" w:rsidP="0099705C">
            <w:pPr>
              <w:pStyle w:val="ConsPlusNonformat"/>
              <w:contextualSpacing/>
              <w:jc w:val="both"/>
              <w:rPr>
                <w:rFonts w:ascii="Times New Roman" w:hAnsi="Times New Roman" w:cs="Times New Roman"/>
              </w:rPr>
            </w:pPr>
            <w:r w:rsidRPr="00947B0C">
              <w:rPr>
                <w:rFonts w:ascii="Times New Roman" w:hAnsi="Times New Roman" w:cs="Times New Roman"/>
              </w:rPr>
              <w:t>Приложение № 7 - проект договора на управление многоквартирным домом.</w:t>
            </w:r>
          </w:p>
        </w:tc>
      </w:tr>
    </w:tbl>
    <w:p w:rsidR="00772D54" w:rsidRDefault="00772D54" w:rsidP="00772D54">
      <w:pPr>
        <w:spacing w:after="0" w:line="240" w:lineRule="auto"/>
        <w:jc w:val="right"/>
        <w:rPr>
          <w:rFonts w:ascii="Times New Roman" w:hAnsi="Times New Roman" w:cs="Times New Roman"/>
          <w:sz w:val="24"/>
          <w:szCs w:val="24"/>
        </w:rPr>
      </w:pPr>
    </w:p>
    <w:p w:rsidR="005C6AEB" w:rsidRDefault="00204506"/>
    <w:sectPr w:rsidR="005C6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B823BC4"/>
    <w:lvl w:ilvl="0">
      <w:start w:val="1"/>
      <w:numFmt w:val="decimal"/>
      <w:pStyle w:val="3"/>
      <w:lvlText w:val="%1."/>
      <w:lvlJc w:val="left"/>
      <w:pPr>
        <w:tabs>
          <w:tab w:val="num" w:pos="643"/>
        </w:tabs>
        <w:ind w:left="643"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63"/>
    <w:rsid w:val="00204506"/>
    <w:rsid w:val="00231480"/>
    <w:rsid w:val="002516AE"/>
    <w:rsid w:val="002B4763"/>
    <w:rsid w:val="00430334"/>
    <w:rsid w:val="005E20B2"/>
    <w:rsid w:val="00740A92"/>
    <w:rsid w:val="00772D54"/>
    <w:rsid w:val="008656BE"/>
    <w:rsid w:val="00947B0C"/>
    <w:rsid w:val="00982C3A"/>
    <w:rsid w:val="009931B4"/>
    <w:rsid w:val="00993B16"/>
    <w:rsid w:val="0099705C"/>
    <w:rsid w:val="009F6058"/>
    <w:rsid w:val="00AD06BB"/>
    <w:rsid w:val="00D4166F"/>
    <w:rsid w:val="00D73464"/>
    <w:rsid w:val="00D82878"/>
    <w:rsid w:val="00DA02D2"/>
    <w:rsid w:val="00DE1F03"/>
    <w:rsid w:val="00E21FCA"/>
    <w:rsid w:val="00E238ED"/>
    <w:rsid w:val="00E86704"/>
    <w:rsid w:val="00EC08B6"/>
    <w:rsid w:val="00FE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30CCA-51D7-4859-9C7B-99F65D4D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D5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772D5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772D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72D54"/>
    <w:rPr>
      <w:rFonts w:ascii="Arial" w:eastAsia="Times New Roman" w:hAnsi="Arial" w:cs="Arial"/>
      <w:sz w:val="20"/>
      <w:szCs w:val="20"/>
      <w:lang w:eastAsia="ru-RU"/>
    </w:rPr>
  </w:style>
  <w:style w:type="paragraph" w:customStyle="1" w:styleId="3">
    <w:name w:val="Стиль3"/>
    <w:basedOn w:val="2"/>
    <w:uiPriority w:val="99"/>
    <w:rsid w:val="00AD06BB"/>
    <w:pPr>
      <w:widowControl w:val="0"/>
      <w:numPr>
        <w:numId w:val="1"/>
      </w:numPr>
      <w:adjustRightInd w:val="0"/>
      <w:spacing w:after="0" w:line="240" w:lineRule="auto"/>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AD06BB"/>
    <w:pPr>
      <w:spacing w:after="120" w:line="480" w:lineRule="auto"/>
      <w:ind w:left="283"/>
    </w:pPr>
  </w:style>
  <w:style w:type="character" w:customStyle="1" w:styleId="20">
    <w:name w:val="Основной текст с отступом 2 Знак"/>
    <w:basedOn w:val="a0"/>
    <w:link w:val="2"/>
    <w:uiPriority w:val="99"/>
    <w:semiHidden/>
    <w:rsid w:val="00AD06BB"/>
    <w:rPr>
      <w:rFonts w:eastAsiaTheme="minorEastAsia"/>
      <w:lang w:eastAsia="ru-RU"/>
    </w:rPr>
  </w:style>
  <w:style w:type="paragraph" w:styleId="a4">
    <w:name w:val="List Paragraph"/>
    <w:basedOn w:val="a"/>
    <w:uiPriority w:val="34"/>
    <w:qFormat/>
    <w:rsid w:val="00EC08B6"/>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3D68DC44EE80E02EA36378655C0C653D3CA6B3604F1AEC24D5EEF5E145DCC5E79A84B67882F4D2O34DB" TargetMode="External"/><Relationship Id="rId13" Type="http://schemas.openxmlformats.org/officeDocument/2006/relationships/hyperlink" Target="consultantplus://offline/ref=E21FD6CA9136D4E73BB7192003D3EC76D226E4D3AEB78BB8A26D1AE6F7499822A664252A471550E2E2DF51FA4333B1C6440A27C9w2TEF"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C43D68DC44EE80E02EA36378655C0C653D3CA6BA644E1AEC24D5EEF5E145DCC5E79A84B279O841B" TargetMode="External"/><Relationship Id="rId12" Type="http://schemas.openxmlformats.org/officeDocument/2006/relationships/hyperlink" Target="consultantplus://offline/ref=18B39D79A8D427F869BE9EB76C78C773DC8C5726E8C1C3022204D796AB384968C7BCE09B2C8934F8B621FF36D5BB789DBEEF7C1BA8197641e7v3E" TargetMode="External"/><Relationship Id="rId17" Type="http://schemas.openxmlformats.org/officeDocument/2006/relationships/hyperlink" Target="consultantplus://offline/ref=E21FD6CA9136D4E73BB7192003D3EC76D223E0D3A5B38BB8A26D1AE6F7499822A664252D411C04BAA78108A90F78BCC5521627CA3080D7C4w9TAF" TargetMode="External"/><Relationship Id="rId2" Type="http://schemas.openxmlformats.org/officeDocument/2006/relationships/numbering" Target="numbering.xml"/><Relationship Id="rId16" Type="http://schemas.openxmlformats.org/officeDocument/2006/relationships/hyperlink" Target="consultantplus://offline/ref=E21FD6CA9136D4E73BB7192003D3EC76D226E4D3AEB78BB8A26D1AE6F7499822A664252B471550E2E2DF51FA4333B1C6440A27C9w2TEF" TargetMode="External"/><Relationship Id="rId20" Type="http://schemas.openxmlformats.org/officeDocument/2006/relationships/hyperlink" Target="consultantplus://offline/ref=45A931F86F73B83703FC6AB471A0E47B959932B5530B3EA1B5370A7700587514480CB86A9107221250b7E" TargetMode="External"/><Relationship Id="rId1" Type="http://schemas.openxmlformats.org/officeDocument/2006/relationships/customXml" Target="../customXml/item1.xml"/><Relationship Id="rId6" Type="http://schemas.openxmlformats.org/officeDocument/2006/relationships/hyperlink" Target="consultantplus://offline/ref=6244F24B3103A43B440785BBEF319AD2E82DE64DC47E93E8287785D2CF9DA04B4CF182FD7D51C478UEzAB" TargetMode="External"/><Relationship Id="rId11" Type="http://schemas.openxmlformats.org/officeDocument/2006/relationships/hyperlink" Target="consultantplus://offline/ref=18B39D79A8D427F869BE9EB76C78C773DC8C5726E8C1C3022204D796AB384968C7BCE09B2C8935F8BE21FF36D5BB789DBEEF7C1BA8197641e7v3E" TargetMode="External"/><Relationship Id="rId5" Type="http://schemas.openxmlformats.org/officeDocument/2006/relationships/webSettings" Target="webSettings.xml"/><Relationship Id="rId15" Type="http://schemas.openxmlformats.org/officeDocument/2006/relationships/hyperlink" Target="consultantplus://offline/ref=E21FD6CA9136D4E73BB7192003D3EC76D226E4D3AEB78BB8A26D1AE6F7499822A664252A471550E2E2DF51FA4333B1C6440A27C9w2TEF" TargetMode="External"/><Relationship Id="rId10" Type="http://schemas.openxmlformats.org/officeDocument/2006/relationships/hyperlink" Target="consultantplus://offline/ref=D0BDF5D6407899BFBE9AB3CA6B9B70DE4AD071E4F17401A42B106D1B32B08C27F22AE4B342C9F415E37ADDB7345777D943AE3BBC6AA81A03RCu1E"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CF5FE44B4655F4FF14394CC5AED3672FB75FDC0121837B76BBCA21452D0E934AEF1E2BB9E77F0DC7TEC1D" TargetMode="External"/><Relationship Id="rId14" Type="http://schemas.openxmlformats.org/officeDocument/2006/relationships/hyperlink" Target="consultantplus://offline/ref=E21FD6CA9136D4E73BB7192003D3EC76D226E4D3AEB78BB8A26D1AE6F7499822A664252B471550E2E2DF51FA4333B1C6440A27C9w2TE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BCB8-D180-4C48-B04E-B96E2F86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4292</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Анатольевна</dc:creator>
  <cp:keywords/>
  <dc:description/>
  <cp:lastModifiedBy>Нина Анатольевна</cp:lastModifiedBy>
  <cp:revision>16</cp:revision>
  <dcterms:created xsi:type="dcterms:W3CDTF">2020-01-27T07:07:00Z</dcterms:created>
  <dcterms:modified xsi:type="dcterms:W3CDTF">2020-01-29T08:11:00Z</dcterms:modified>
</cp:coreProperties>
</file>