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2" w:rsidRDefault="002F1564" w:rsidP="002F156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«УТВЕРЖДАЮ»</w:t>
      </w:r>
    </w:p>
    <w:p w:rsidR="002F1564" w:rsidRDefault="002F1564" w:rsidP="002F156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Руководитель «Управа Промышленного округа»</w:t>
      </w:r>
    </w:p>
    <w:p w:rsidR="002F1564" w:rsidRDefault="002F1564" w:rsidP="002F156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муниципального казенного учреждения</w:t>
      </w:r>
    </w:p>
    <w:p w:rsidR="002F1564" w:rsidRDefault="002F1564" w:rsidP="002F156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городского округа «город Якутск»</w:t>
      </w:r>
    </w:p>
    <w:p w:rsidR="002F1564" w:rsidRDefault="002F1564" w:rsidP="002F156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2F1564" w:rsidRDefault="002F1564" w:rsidP="002F156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_____________________ И.В. Крупнова</w:t>
      </w:r>
    </w:p>
    <w:p w:rsidR="002F1564" w:rsidRDefault="002F1564" w:rsidP="002F156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2F1564" w:rsidRPr="002F1564" w:rsidRDefault="002F1564" w:rsidP="002F156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>м.п.</w:t>
      </w: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F1564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A4792" w:rsidRPr="002F1564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F1564">
        <w:rPr>
          <w:rFonts w:ascii="Times New Roman" w:hAnsi="Times New Roman" w:cs="Times New Roman"/>
          <w:b/>
          <w:sz w:val="24"/>
          <w:szCs w:val="26"/>
        </w:rPr>
        <w:t>КОНКУРСНАЯ ДОКУМЕНТАЦИЯ</w:t>
      </w:r>
    </w:p>
    <w:p w:rsidR="001A4792" w:rsidRPr="002F1564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F1564">
        <w:rPr>
          <w:rFonts w:ascii="Times New Roman" w:hAnsi="Times New Roman" w:cs="Times New Roman"/>
          <w:b/>
          <w:sz w:val="24"/>
          <w:szCs w:val="26"/>
        </w:rPr>
        <w:t xml:space="preserve">открытого конкурса по отбору управляющей организации </w:t>
      </w:r>
    </w:p>
    <w:p w:rsidR="001A4792" w:rsidRPr="002F1564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F1564">
        <w:rPr>
          <w:rFonts w:ascii="Times New Roman" w:hAnsi="Times New Roman" w:cs="Times New Roman"/>
          <w:b/>
          <w:sz w:val="24"/>
          <w:szCs w:val="26"/>
        </w:rPr>
        <w:t>для управления многоквартирным домом,</w:t>
      </w:r>
      <w:r w:rsidR="00C40200" w:rsidRPr="002F156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2F1564">
        <w:rPr>
          <w:rFonts w:ascii="Times New Roman" w:hAnsi="Times New Roman" w:cs="Times New Roman"/>
          <w:b/>
          <w:color w:val="000000"/>
          <w:spacing w:val="6"/>
          <w:sz w:val="24"/>
          <w:szCs w:val="26"/>
        </w:rPr>
        <w:t>расположенным</w:t>
      </w:r>
    </w:p>
    <w:p w:rsidR="001A4792" w:rsidRPr="002F1564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F1564">
        <w:rPr>
          <w:rFonts w:ascii="Times New Roman" w:hAnsi="Times New Roman" w:cs="Times New Roman"/>
          <w:b/>
          <w:color w:val="000000"/>
          <w:spacing w:val="6"/>
          <w:sz w:val="24"/>
          <w:szCs w:val="26"/>
        </w:rPr>
        <w:t>по адресу: г. Якутск,</w:t>
      </w:r>
      <w:r w:rsidR="00C40200" w:rsidRPr="002F1564">
        <w:rPr>
          <w:rFonts w:ascii="Times New Roman" w:hAnsi="Times New Roman" w:cs="Times New Roman"/>
          <w:b/>
          <w:color w:val="000000"/>
          <w:spacing w:val="6"/>
          <w:sz w:val="24"/>
          <w:szCs w:val="26"/>
        </w:rPr>
        <w:t xml:space="preserve"> </w:t>
      </w:r>
      <w:r w:rsidRPr="002F1564">
        <w:rPr>
          <w:rFonts w:ascii="Times New Roman" w:hAnsi="Times New Roman" w:cs="Times New Roman"/>
          <w:b/>
          <w:color w:val="000000"/>
          <w:spacing w:val="6"/>
          <w:sz w:val="24"/>
          <w:szCs w:val="26"/>
        </w:rPr>
        <w:t>ул.</w:t>
      </w:r>
      <w:r w:rsidR="00C40200" w:rsidRPr="002F1564">
        <w:rPr>
          <w:rFonts w:ascii="Times New Roman" w:hAnsi="Times New Roman" w:cs="Times New Roman"/>
          <w:b/>
          <w:color w:val="000000"/>
          <w:spacing w:val="6"/>
          <w:sz w:val="24"/>
          <w:szCs w:val="26"/>
        </w:rPr>
        <w:t xml:space="preserve"> </w:t>
      </w:r>
      <w:r w:rsidR="002F1564">
        <w:rPr>
          <w:rFonts w:ascii="Times New Roman" w:hAnsi="Times New Roman" w:cs="Times New Roman"/>
          <w:b/>
          <w:color w:val="000000"/>
          <w:spacing w:val="6"/>
          <w:sz w:val="24"/>
          <w:szCs w:val="26"/>
        </w:rPr>
        <w:t>Очиченко, дом 25, корпус 2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</w:t>
      </w:r>
      <w:r w:rsidR="002F1564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564" w:rsidRDefault="002F1564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887" w:type="dxa"/>
        <w:tblInd w:w="-289" w:type="dxa"/>
        <w:tblLook w:val="04A0" w:firstRow="1" w:lastRow="0" w:firstColumn="1" w:lastColumn="0" w:noHBand="0" w:noVBand="1"/>
      </w:tblPr>
      <w:tblGrid>
        <w:gridCol w:w="568"/>
        <w:gridCol w:w="4224"/>
        <w:gridCol w:w="6095"/>
      </w:tblGrid>
      <w:tr w:rsidR="001A4792" w:rsidRPr="00072787" w:rsidTr="002F1564">
        <w:tc>
          <w:tcPr>
            <w:tcW w:w="568" w:type="dxa"/>
            <w:vAlign w:val="center"/>
          </w:tcPr>
          <w:p w:rsidR="001A4792" w:rsidRPr="002F1564" w:rsidRDefault="002F1564" w:rsidP="002F1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56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24" w:type="dxa"/>
          </w:tcPr>
          <w:p w:rsidR="001A4792" w:rsidRPr="002F1564" w:rsidRDefault="001A4792" w:rsidP="002F156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F1564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2F1564" w:rsidRDefault="001A4792" w:rsidP="002F1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564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1A4792"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80D77" w:rsidRPr="00180D77" w:rsidRDefault="001D501D" w:rsidP="002F1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7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180D77" w:rsidRPr="00180D77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r w:rsidR="00FC647A" w:rsidRPr="00180D7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180D77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</w:t>
            </w:r>
            <w:r w:rsidR="00180D77" w:rsidRPr="00180D77">
              <w:rPr>
                <w:rFonts w:ascii="Times New Roman" w:hAnsi="Times New Roman" w:cs="Times New Roman"/>
                <w:sz w:val="20"/>
                <w:szCs w:val="20"/>
              </w:rPr>
              <w:t>р/сч 40302810498055000002</w:t>
            </w:r>
          </w:p>
          <w:p w:rsidR="001A4792" w:rsidRPr="00180D77" w:rsidRDefault="00180D77" w:rsidP="0018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0D77">
              <w:rPr>
                <w:rFonts w:ascii="Times New Roman" w:hAnsi="Times New Roman" w:cs="Times New Roman"/>
                <w:sz w:val="20"/>
                <w:szCs w:val="20"/>
              </w:rPr>
              <w:t>л/с 55684035343, БИК 049805001 Отделение НБ Республика Саха (Якутия) г. Якутск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конкурса производится на основании заявления поданного в письменной форме.</w:t>
            </w:r>
          </w:p>
          <w:p w:rsidR="001A4792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03746F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/>
                <w:sz w:val="20"/>
                <w:szCs w:val="20"/>
              </w:rPr>
              <w:t xml:space="preserve"> № 2 к настоящей документации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03746F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/>
                <w:sz w:val="20"/>
                <w:szCs w:val="20"/>
              </w:rPr>
              <w:t xml:space="preserve"> № 3 к настоящей документации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ремонт жилого помещения и коммунальные услуги внос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6"/>
            <w:bookmarkEnd w:id="3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№ 4 к настоящей документации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r w:rsidR="001A4792" w:rsidRPr="002504CC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</w:t>
            </w:r>
            <w:r w:rsidR="001A4792" w:rsidRPr="0025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4" w:type="dxa"/>
          </w:tcPr>
          <w:p w:rsidR="001A4792" w:rsidRPr="006E6921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в разумные сроки, но не </w:t>
            </w:r>
            <w:r w:rsidRPr="00B860E1">
              <w:rPr>
                <w:rFonts w:ascii="Times New Roman" w:hAnsi="Times New Roman" w:cs="Times New Roman"/>
                <w:sz w:val="20"/>
                <w:szCs w:val="20"/>
              </w:rPr>
              <w:t xml:space="preserve">более 14 дней, в размере </w:t>
            </w:r>
            <w:r w:rsidR="00B860E1" w:rsidRPr="00B860E1">
              <w:rPr>
                <w:rFonts w:ascii="Times New Roman" w:hAnsi="Times New Roman" w:cs="Times New Roman"/>
                <w:sz w:val="20"/>
                <w:szCs w:val="20"/>
              </w:rPr>
              <w:t xml:space="preserve">2 605,68 </w:t>
            </w:r>
            <w:r w:rsidR="00481FB5" w:rsidRPr="00B860E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86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86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03746F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</w:t>
            </w:r>
            <w:r w:rsidR="001A4792" w:rsidRPr="002504CC">
              <w:rPr>
                <w:rFonts w:ascii="Times New Roman" w:hAnsi="Times New Roman" w:cs="Times New Roman"/>
              </w:rPr>
              <w:t xml:space="preserve"> заключаются сроком </w:t>
            </w:r>
            <w:r w:rsidR="002F1564" w:rsidRPr="002F1564">
              <w:rPr>
                <w:rFonts w:ascii="Times New Roman" w:hAnsi="Times New Roman" w:cs="Times New Roman"/>
                <w:b/>
                <w:u w:val="single"/>
              </w:rPr>
              <w:t>на 3 (три)</w:t>
            </w:r>
            <w:r w:rsidR="001A4792" w:rsidRPr="002F1564">
              <w:rPr>
                <w:rFonts w:ascii="Times New Roman" w:hAnsi="Times New Roman" w:cs="Times New Roman"/>
                <w:b/>
                <w:u w:val="single"/>
              </w:rPr>
              <w:t xml:space="preserve"> года</w:t>
            </w:r>
            <w:r w:rsidR="001A4792" w:rsidRPr="002504CC">
              <w:rPr>
                <w:rFonts w:ascii="Times New Roman" w:hAnsi="Times New Roman" w:cs="Times New Roman"/>
              </w:rPr>
              <w:t xml:space="preserve"> и вступают в силу с момента их подписания сторонами</w:t>
            </w:r>
          </w:p>
          <w:p w:rsidR="001A4792" w:rsidRPr="002504CC" w:rsidRDefault="0003746F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</w:t>
            </w:r>
            <w:r w:rsidR="001A4792" w:rsidRPr="002504CC">
              <w:rPr>
                <w:rFonts w:ascii="Times New Roman" w:hAnsi="Times New Roman" w:cs="Times New Roman"/>
              </w:rPr>
              <w:t xml:space="preserve">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2F1564">
        <w:tc>
          <w:tcPr>
            <w:tcW w:w="568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4" w:type="dxa"/>
          </w:tcPr>
          <w:p w:rsidR="001A4792" w:rsidRPr="00072787" w:rsidRDefault="001A4792" w:rsidP="002F1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64" w:rsidRDefault="002F1564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64" w:rsidRDefault="002F1564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64" w:rsidRDefault="002F1564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64" w:rsidRDefault="002F1564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FB5" w:rsidRDefault="00481FB5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lastRenderedPageBreak/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96" w:rsidRDefault="00F22C96" w:rsidP="00E82478">
      <w:pPr>
        <w:spacing w:after="0" w:line="240" w:lineRule="auto"/>
      </w:pPr>
      <w:r>
        <w:separator/>
      </w:r>
    </w:p>
  </w:endnote>
  <w:endnote w:type="continuationSeparator" w:id="0">
    <w:p w:rsidR="00F22C96" w:rsidRDefault="00F22C96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6E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96" w:rsidRDefault="00F22C96" w:rsidP="00E82478">
      <w:pPr>
        <w:spacing w:after="0" w:line="240" w:lineRule="auto"/>
      </w:pPr>
      <w:r>
        <w:separator/>
      </w:r>
    </w:p>
  </w:footnote>
  <w:footnote w:type="continuationSeparator" w:id="0">
    <w:p w:rsidR="00F22C96" w:rsidRDefault="00F22C96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3746F"/>
    <w:rsid w:val="00037F3A"/>
    <w:rsid w:val="00057E3C"/>
    <w:rsid w:val="00061C60"/>
    <w:rsid w:val="000679D6"/>
    <w:rsid w:val="00072787"/>
    <w:rsid w:val="000855F4"/>
    <w:rsid w:val="0009419B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80D77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0665D"/>
    <w:rsid w:val="00223FD1"/>
    <w:rsid w:val="002314C8"/>
    <w:rsid w:val="002504CC"/>
    <w:rsid w:val="00280800"/>
    <w:rsid w:val="00285033"/>
    <w:rsid w:val="00286064"/>
    <w:rsid w:val="00295691"/>
    <w:rsid w:val="002A3677"/>
    <w:rsid w:val="002B563A"/>
    <w:rsid w:val="002D57D5"/>
    <w:rsid w:val="002E3ABC"/>
    <w:rsid w:val="002F1564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7BAC"/>
    <w:rsid w:val="003E1C9C"/>
    <w:rsid w:val="003F192F"/>
    <w:rsid w:val="003F6329"/>
    <w:rsid w:val="00406034"/>
    <w:rsid w:val="004374B3"/>
    <w:rsid w:val="00452A33"/>
    <w:rsid w:val="004539B2"/>
    <w:rsid w:val="0045657B"/>
    <w:rsid w:val="004619B7"/>
    <w:rsid w:val="00481602"/>
    <w:rsid w:val="00481FB5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B7755"/>
    <w:rsid w:val="005D08EC"/>
    <w:rsid w:val="005F4BD8"/>
    <w:rsid w:val="00636BD0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72924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90745B"/>
    <w:rsid w:val="009103B0"/>
    <w:rsid w:val="00924DFD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C4A9D"/>
    <w:rsid w:val="00B17056"/>
    <w:rsid w:val="00B47D81"/>
    <w:rsid w:val="00B51F9B"/>
    <w:rsid w:val="00B81DD9"/>
    <w:rsid w:val="00B860E1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DC0B3A"/>
    <w:rsid w:val="00E0659D"/>
    <w:rsid w:val="00E1575A"/>
    <w:rsid w:val="00E2405A"/>
    <w:rsid w:val="00E34EAB"/>
    <w:rsid w:val="00E4182E"/>
    <w:rsid w:val="00E80067"/>
    <w:rsid w:val="00E82478"/>
    <w:rsid w:val="00EA3504"/>
    <w:rsid w:val="00EB46E4"/>
    <w:rsid w:val="00EF11B8"/>
    <w:rsid w:val="00EF1421"/>
    <w:rsid w:val="00F22C96"/>
    <w:rsid w:val="00F251A9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CB39-7286-4000-B37D-9B2450D7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Дмитрий Н. Неустроев</cp:lastModifiedBy>
  <cp:revision>2</cp:revision>
  <cp:lastPrinted>2016-06-29T02:02:00Z</cp:lastPrinted>
  <dcterms:created xsi:type="dcterms:W3CDTF">2018-01-29T07:46:00Z</dcterms:created>
  <dcterms:modified xsi:type="dcterms:W3CDTF">2018-01-29T07:46:00Z</dcterms:modified>
</cp:coreProperties>
</file>