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2020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DF212C" w:rsidRPr="00DF212C">
        <w:rPr>
          <w:b/>
        </w:rPr>
        <w:t xml:space="preserve">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 </w:t>
      </w:r>
      <w:r w:rsidR="00A91E85" w:rsidRPr="00A91E85">
        <w:rPr>
          <w:b/>
        </w:rPr>
        <w:t>за 2020 и 2021 гг.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DF212C" w:rsidRPr="00DF212C">
        <w:t>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="006E14A4" w:rsidRPr="00D40DCE">
        <w:t xml:space="preserve"> </w:t>
      </w:r>
      <w:r w:rsidR="00A91E85" w:rsidRPr="00A91E85">
        <w:t xml:space="preserve">за 2020 и 2021 гг.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DF212C">
        <w:t>П</w:t>
      </w:r>
      <w:r w:rsidR="00C04359" w:rsidRPr="00DF212C">
        <w:t xml:space="preserve">остановлением Окружной администрации города Якутска </w:t>
      </w:r>
      <w:r w:rsidR="00DF212C" w:rsidRPr="00DF212C">
        <w:t>от 23.03.2020 № 90п «Об утверждении Положени</w:t>
      </w:r>
      <w:r w:rsidR="00DF212C">
        <w:t>я</w:t>
      </w:r>
      <w:r w:rsidR="00DF212C" w:rsidRPr="00DF212C">
        <w:t xml:space="preserve"> о предоставлении субсидии из бюджета городского округа «город Якутск» на 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период»</w:t>
      </w:r>
      <w:r w:rsidR="0053080B" w:rsidRPr="00DF212C">
        <w:t xml:space="preserve"> </w:t>
      </w:r>
      <w:r w:rsidR="0053080B" w:rsidRPr="00FC656A">
        <w:t>(далее – По</w:t>
      </w:r>
      <w:r w:rsidR="00C15A47" w:rsidRPr="00FC656A">
        <w:t>ложение</w:t>
      </w:r>
      <w:r w:rsidR="0053080B" w:rsidRPr="00FC656A">
        <w:t>)</w:t>
      </w:r>
      <w:r w:rsidRPr="00FC656A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  <w:bookmarkStart w:id="0" w:name="_GoBack"/>
      <w:bookmarkEnd w:id="0"/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</w:t>
      </w:r>
      <w:r w:rsidR="008B6650">
        <w:t xml:space="preserve"> №1</w:t>
      </w:r>
      <w:r w:rsidRPr="00974696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DF212C">
        <w:t>1</w:t>
      </w:r>
      <w:r w:rsidR="00A91E85">
        <w:t>5</w:t>
      </w:r>
      <w:r w:rsidR="003A31FE" w:rsidRPr="003A31FE">
        <w:t xml:space="preserve"> </w:t>
      </w:r>
      <w:r w:rsidR="00F77A9C">
        <w:t>февраля</w:t>
      </w:r>
      <w:r w:rsidR="003A31FE" w:rsidRPr="003A31FE">
        <w:t xml:space="preserve"> 202</w:t>
      </w:r>
      <w:r w:rsidR="00F77A9C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F77A9C">
        <w:t>19 февраля</w:t>
      </w:r>
      <w:r w:rsidR="003A31FE" w:rsidRPr="003A31FE">
        <w:t xml:space="preserve"> 202</w:t>
      </w:r>
      <w:r w:rsidR="00F77A9C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8B6650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b/>
          <w:u w:val="single"/>
        </w:rPr>
        <w:t>Предмет</w:t>
      </w:r>
      <w:r w:rsidR="005F54D6" w:rsidRPr="00974696">
        <w:rPr>
          <w:b/>
          <w:u w:val="single"/>
        </w:rPr>
        <w:t xml:space="preserve"> отбора</w:t>
      </w:r>
      <w:r w:rsidR="005F54D6"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DF212C" w:rsidRPr="00DF212C">
        <w:t>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="00DF212C" w:rsidRPr="00D40DCE">
        <w:t xml:space="preserve"> </w:t>
      </w:r>
      <w:r w:rsidR="00F77A9C" w:rsidRPr="00F77A9C">
        <w:t>за 2020 и 2021 гг.</w:t>
      </w:r>
      <w:r w:rsidR="00F77A9C">
        <w:rPr>
          <w:sz w:val="28"/>
          <w:szCs w:val="28"/>
        </w:rPr>
        <w:t xml:space="preserve"> </w:t>
      </w:r>
      <w:r w:rsidR="005F54D6"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F77A9C">
        <w:t>1</w:t>
      </w:r>
      <w:r w:rsidRPr="00974696">
        <w:t xml:space="preserve"> год</w:t>
      </w:r>
      <w:r w:rsidR="00986D7C" w:rsidRPr="00974696">
        <w:t>.</w:t>
      </w:r>
    </w:p>
    <w:p w:rsidR="001F3624" w:rsidRPr="00F77A9C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F77A9C" w:rsidRPr="00F77A9C">
        <w:t>15 000 000 (пятнадцать миллионов) рублей 00 копеек</w:t>
      </w:r>
      <w:r w:rsidR="008B2FFE" w:rsidRPr="00F77A9C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F77A9C" w:rsidRDefault="00F77A9C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На фирменном бланке с указанием наименования организации, адреса,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телефона, с исходящей нумерацией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  <w:b/>
          <w:bCs/>
        </w:rPr>
        <w:t>Заявление о предоставлении субсидии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____________________________________________________________ в лице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(наименование юридического лица)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_________________________________________________________________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(Ф.И.О. руководителя юридического лица)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12C">
        <w:rPr>
          <w:rFonts w:eastAsiaTheme="minorEastAsia"/>
        </w:rPr>
        <w:t xml:space="preserve">ознакомившись с </w:t>
      </w:r>
      <w:hyperlink w:anchor="sub_1000" w:history="1">
        <w:r w:rsidRPr="00DF212C">
          <w:rPr>
            <w:rFonts w:eastAsiaTheme="minorEastAsia"/>
          </w:rPr>
          <w:t>Положением</w:t>
        </w:r>
      </w:hyperlink>
      <w:r w:rsidRPr="00DF212C">
        <w:rPr>
          <w:rFonts w:eastAsiaTheme="minorEastAsia"/>
        </w:rPr>
        <w:t xml:space="preserve"> </w:t>
      </w:r>
      <w:r w:rsidRPr="00DF212C">
        <w:rPr>
          <w:rFonts w:eastAsiaTheme="minorEastAsia"/>
          <w:bCs/>
        </w:rPr>
        <w:t xml:space="preserve">о предоставлении из бюджета городского округа «город Якутск» субсидии на </w:t>
      </w:r>
      <w:r w:rsidRPr="00DF212C">
        <w:t>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Pr="00DF212C">
        <w:rPr>
          <w:rFonts w:eastAsiaTheme="minorEastAsia"/>
        </w:rPr>
        <w:t>, просит предоставить субсидию в размере: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(__________________________________________________________) рублей.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12C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DF212C">
        <w:rPr>
          <w:rFonts w:eastAsiaTheme="minorEastAsia"/>
        </w:rPr>
        <w:t xml:space="preserve">     Прилагаемые документы: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1. _______________________________________________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2. _______________________________________________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3. _______________________________________________ и т.д.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 xml:space="preserve">     В дополнение представляем следующую информацию:</w:t>
      </w:r>
    </w:p>
    <w:p w:rsidR="00DF212C" w:rsidRPr="00DF212C" w:rsidRDefault="00DF212C" w:rsidP="00DF2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DF212C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Корпус (</w:t>
            </w:r>
            <w:proofErr w:type="gramStart"/>
            <w:r w:rsidRPr="00DF212C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Квартира (</w:t>
            </w:r>
            <w:proofErr w:type="gramStart"/>
            <w:r w:rsidRPr="00DF212C">
              <w:rPr>
                <w:color w:val="22272F"/>
              </w:rPr>
              <w:t xml:space="preserve">офис)   </w:t>
            </w:r>
            <w:proofErr w:type="gramEnd"/>
            <w:r w:rsidRPr="00DF212C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DF212C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F212C" w:rsidRPr="00DF212C" w:rsidRDefault="00DF212C" w:rsidP="00DF2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DF212C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F212C" w:rsidRPr="00DF212C" w:rsidRDefault="00DF212C" w:rsidP="00DF2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DF212C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Руководитель: ____________________________________/________________/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Главный бухгалтер: _______________________________/________________/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М.П.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б) копия Устава;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 xml:space="preserve">в) </w:t>
      </w:r>
      <w:r w:rsidRPr="00DF212C">
        <w:rPr>
          <w:spacing w:val="2"/>
          <w:shd w:val="clear" w:color="auto" w:fill="FFFFFF" w:themeFill="background1"/>
        </w:rPr>
        <w:t>выписка из единого государственного реестра юридических лиц (индивидуальных предпринимателей), выданную не позднее 30 (тридцати) дневного срока до дня представления документов, указанных в настоящем пункте</w:t>
      </w:r>
      <w:r w:rsidRPr="00DF212C">
        <w:rPr>
          <w:bCs/>
          <w:shd w:val="clear" w:color="auto" w:fill="FFFFFF" w:themeFill="background1"/>
        </w:rPr>
        <w:t>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г) копия Свидетельства о постановке на налоговый учет;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д)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 xml:space="preserve">е) копии </w:t>
      </w:r>
      <w:r w:rsidRPr="00DF212C">
        <w:t>договоров на предоставление услуг по вывозу жидких бытовых отходов в мерзлом виде;</w:t>
      </w:r>
    </w:p>
    <w:p w:rsidR="00DF212C" w:rsidRPr="00DF212C" w:rsidRDefault="00DF212C" w:rsidP="00DF212C">
      <w:pPr>
        <w:ind w:firstLine="708"/>
        <w:jc w:val="both"/>
      </w:pPr>
      <w:r w:rsidRPr="00DF212C">
        <w:rPr>
          <w:bCs/>
        </w:rPr>
        <w:t xml:space="preserve">ж) </w:t>
      </w:r>
      <w:r w:rsidRPr="00DF212C">
        <w:t>копии паспортов на специализированную технику, в том числе договора аренды, при привлечении сторонней организации на выполнение работ или оказание услуг;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з)</w:t>
      </w:r>
      <w:r w:rsidRPr="00DF212C">
        <w:t xml:space="preserve"> </w:t>
      </w:r>
      <w:r w:rsidRPr="00DF212C">
        <w:rPr>
          <w:bCs/>
        </w:rPr>
        <w:t xml:space="preserve">копии лицензии на транспортирование </w:t>
      </w:r>
      <w:r w:rsidRPr="00DF212C">
        <w:t xml:space="preserve">отходов </w:t>
      </w:r>
      <w:r w:rsidRPr="00DF212C">
        <w:rPr>
          <w:lang w:val="en-US"/>
        </w:rPr>
        <w:t>I</w:t>
      </w:r>
      <w:r w:rsidRPr="00DF212C">
        <w:t>-</w:t>
      </w:r>
      <w:r w:rsidRPr="00DF212C">
        <w:rPr>
          <w:lang w:val="en-US"/>
        </w:rPr>
        <w:t>IV</w:t>
      </w:r>
      <w:r w:rsidRPr="00DF212C">
        <w:t xml:space="preserve"> классов опасности</w:t>
      </w:r>
      <w:r w:rsidRPr="00DF212C">
        <w:rPr>
          <w:bCs/>
        </w:rPr>
        <w:t>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и) копии правоустанавливающих документов на объект размещения отходов I-IV класса опасности, занесенного в Государственный реестр объектов размещения отходов (ГРОРО) или заключенных договоров с объектом размещения отходов, занесенного в Государственный реестр объектов размещения отходов (ГРОРО) на размещение жидких бытовых отходов в мерзлом виде.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к) реквизиты банковского счета;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л) иные документы (по требованию).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F212C" w:rsidRDefault="00DF212C" w:rsidP="00DF212C">
      <w:pPr>
        <w:autoSpaceDE w:val="0"/>
        <w:autoSpaceDN w:val="0"/>
        <w:adjustRightInd w:val="0"/>
        <w:ind w:firstLine="540"/>
        <w:jc w:val="both"/>
      </w:pPr>
      <w:r w:rsidRPr="00DF212C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  <w:r>
        <w:rPr>
          <w:bCs/>
        </w:rPr>
        <w:t>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392513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392513" w:rsidRPr="00392513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392513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DF212C" w:rsidRPr="00DF212C" w:rsidTr="00C24F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№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Наименование критерия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Количество баллов</w:t>
            </w:r>
          </w:p>
        </w:tc>
      </w:tr>
      <w:tr w:rsidR="00DF212C" w:rsidRPr="00DF212C" w:rsidTr="00C24FD7">
        <w:trPr>
          <w:trHeight w:val="110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both"/>
            </w:pPr>
            <w:r w:rsidRPr="00DF212C">
              <w:t xml:space="preserve">Наличие у юридического лица и индивидуального предпринимателя заключенных договоров по вывозу жидких бытовых отходов в мерзлом виде.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</w:p>
        </w:tc>
      </w:tr>
      <w:tr w:rsidR="00DF212C" w:rsidRPr="00DF212C" w:rsidTr="00C24FD7">
        <w:trPr>
          <w:trHeight w:val="1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 xml:space="preserve">Да 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до 20 домов – 5 баллов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больше 20 до 100 домов – 10 баллов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более 100 домов – 15 баллов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  <w:tr w:rsidR="00DF212C" w:rsidRPr="00DF212C" w:rsidTr="00C2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Нет – 0 баллов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  <w:tr w:rsidR="00DF212C" w:rsidRPr="00DF212C" w:rsidTr="00C24FD7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2C" w:rsidRPr="00DF212C" w:rsidRDefault="00DF212C" w:rsidP="00DF212C">
            <w:pPr>
              <w:pStyle w:val="ab"/>
              <w:numPr>
                <w:ilvl w:val="0"/>
                <w:numId w:val="5"/>
              </w:numPr>
              <w:spacing w:line="300" w:lineRule="auto"/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Наличие у юридического лица и индивидуального предпринимателя специализированной техники для вывоза жидких бытовых отходов в мерзлом виде.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 xml:space="preserve">Да 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до 5 ед. -  5 баллов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 xml:space="preserve">- выше 5 ед.- 10 баллов 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Нет – 0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  <w:tr w:rsidR="00DF212C" w:rsidRPr="00DF212C" w:rsidTr="00C24FD7">
        <w:trPr>
          <w:trHeight w:val="62"/>
        </w:trPr>
        <w:tc>
          <w:tcPr>
            <w:tcW w:w="71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</w:pPr>
            <w:r w:rsidRPr="00DF212C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DF212C" w:rsidRPr="00DF212C" w:rsidRDefault="00DF212C" w:rsidP="00DF212C">
      <w:pPr>
        <w:ind w:firstLine="708"/>
        <w:jc w:val="both"/>
      </w:pPr>
      <w:r w:rsidRPr="00DF212C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DF212C" w:rsidRPr="00DF212C" w:rsidRDefault="00DF212C" w:rsidP="00DF212C">
      <w:pPr>
        <w:ind w:firstLine="708"/>
        <w:jc w:val="both"/>
      </w:pPr>
      <w:r w:rsidRPr="00DF212C">
        <w:t xml:space="preserve">2) осуществление работ </w:t>
      </w:r>
      <w:r w:rsidRPr="00DF212C">
        <w:rPr>
          <w:bCs/>
        </w:rPr>
        <w:t xml:space="preserve">по </w:t>
      </w:r>
      <w:r w:rsidRPr="00DF212C">
        <w:t>вывозу жидких бытовых отходов в мерзлом виде из неблагоустроенного деревянного многоквартирного фонда</w:t>
      </w:r>
      <w:r w:rsidRPr="00DF212C">
        <w:rPr>
          <w:bCs/>
        </w:rPr>
        <w:t xml:space="preserve"> городского округа «город Якутск».</w:t>
      </w:r>
    </w:p>
    <w:p w:rsidR="00F65D0E" w:rsidRPr="00F65D0E" w:rsidRDefault="0053080B" w:rsidP="00F65D0E">
      <w:pPr>
        <w:ind w:firstLine="708"/>
        <w:jc w:val="both"/>
        <w:rPr>
          <w:bCs/>
        </w:rPr>
      </w:pPr>
      <w:r w:rsidRPr="00F65D0E">
        <w:rPr>
          <w:b/>
          <w:bCs/>
        </w:rPr>
        <w:t>Требования к получению субсидии:</w:t>
      </w:r>
      <w:r w:rsidRPr="00F65D0E">
        <w:rPr>
          <w:bCs/>
        </w:rPr>
        <w:t xml:space="preserve"> </w:t>
      </w:r>
      <w:r w:rsidR="00F65D0E" w:rsidRPr="00F65D0E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а)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lastRenderedPageBreak/>
        <w:t>б)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</w:t>
      </w:r>
      <w:r w:rsidRPr="00F65D0E">
        <w:t xml:space="preserve"> </w:t>
      </w:r>
      <w:r w:rsidRPr="00F65D0E">
        <w:rPr>
          <w:bCs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Положении;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д)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е)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F65D0E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E4460"/>
    <w:multiLevelType w:val="multilevel"/>
    <w:tmpl w:val="BA04AA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21F38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D0584"/>
    <w:rsid w:val="0051259D"/>
    <w:rsid w:val="0053080B"/>
    <w:rsid w:val="005C1A37"/>
    <w:rsid w:val="005F54D6"/>
    <w:rsid w:val="00627681"/>
    <w:rsid w:val="006E1425"/>
    <w:rsid w:val="006E14A4"/>
    <w:rsid w:val="007601FF"/>
    <w:rsid w:val="00767561"/>
    <w:rsid w:val="008B2FFE"/>
    <w:rsid w:val="008B6650"/>
    <w:rsid w:val="00930243"/>
    <w:rsid w:val="00974696"/>
    <w:rsid w:val="00986D7C"/>
    <w:rsid w:val="009B3FBD"/>
    <w:rsid w:val="009E6DA5"/>
    <w:rsid w:val="00A341B3"/>
    <w:rsid w:val="00A812C8"/>
    <w:rsid w:val="00A91E85"/>
    <w:rsid w:val="00B12087"/>
    <w:rsid w:val="00B13F42"/>
    <w:rsid w:val="00B50175"/>
    <w:rsid w:val="00BA3FAE"/>
    <w:rsid w:val="00C04359"/>
    <w:rsid w:val="00C15A47"/>
    <w:rsid w:val="00C17754"/>
    <w:rsid w:val="00C30D22"/>
    <w:rsid w:val="00C378D9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F212C"/>
    <w:rsid w:val="00DF2EAE"/>
    <w:rsid w:val="00E422B5"/>
    <w:rsid w:val="00E66E06"/>
    <w:rsid w:val="00ED6E86"/>
    <w:rsid w:val="00F35BE5"/>
    <w:rsid w:val="00F65D0E"/>
    <w:rsid w:val="00F755EF"/>
    <w:rsid w:val="00F77A9C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6</cp:revision>
  <dcterms:created xsi:type="dcterms:W3CDTF">2021-02-12T02:32:00Z</dcterms:created>
  <dcterms:modified xsi:type="dcterms:W3CDTF">2021-02-12T08:15:00Z</dcterms:modified>
</cp:coreProperties>
</file>