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D1" w:rsidRDefault="001A5BA8" w:rsidP="00426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1A5BA8" w:rsidRDefault="001A5BA8" w:rsidP="004263F9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вскрытия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рассмотрения заявок на участие в открытом аукционе в электронной форме на право </w:t>
      </w:r>
      <w:r w:rsidRPr="001A5BA8">
        <w:rPr>
          <w:rFonts w:ascii="Times New Roman" w:hAnsi="Times New Roman" w:cs="Times New Roman"/>
          <w:sz w:val="24"/>
          <w:szCs w:val="24"/>
        </w:rPr>
        <w:t xml:space="preserve">заключения договора аренды муниципального имущества, закрепленного за МБУ «Окружной центр народного творчества» ГО “город Якутск” на праве оперативного управления (нежилое помещение общей площадью 101,7 кв. м., инв. № 98 401 000/ЯК1/ 019057, лит. А, расположенное по адресу: РФ, Республика Саха (Якутия), г. Якутск, ул. </w:t>
      </w:r>
      <w:proofErr w:type="spellStart"/>
      <w:r w:rsidRPr="001A5BA8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1A5BA8">
        <w:rPr>
          <w:rFonts w:ascii="Times New Roman" w:hAnsi="Times New Roman" w:cs="Times New Roman"/>
          <w:sz w:val="24"/>
          <w:szCs w:val="24"/>
        </w:rPr>
        <w:t>, д. 3)</w:t>
      </w:r>
    </w:p>
    <w:p w:rsidR="001A5BA8" w:rsidRDefault="001A5BA8" w:rsidP="0042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FEE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                                                     14.09.2020</w:t>
      </w:r>
    </w:p>
    <w:p w:rsidR="00172EC5" w:rsidRDefault="00172EC5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 xml:space="preserve">Наименование предмета аукциона: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укцион в электронной форме на право </w:t>
      </w:r>
      <w:r w:rsidRPr="001A5BA8">
        <w:rPr>
          <w:rFonts w:ascii="Times New Roman" w:hAnsi="Times New Roman" w:cs="Times New Roman"/>
          <w:sz w:val="24"/>
          <w:szCs w:val="24"/>
        </w:rPr>
        <w:t xml:space="preserve">заключения договора аренды муниципального имущества, закрепленного за МБУ «Окружной центр народного творчества» ГО “город Якутск” на праве оперативного управления (нежилое помещение общей площадью 101,7 кв. м., инв. № 98 401 000/ЯК1/ 019057, лит. А, расположенное по адресу: РФ, Республика Саха (Якутия), г. Якутск, ул. </w:t>
      </w:r>
      <w:proofErr w:type="spellStart"/>
      <w:r w:rsidRPr="001A5BA8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1A5BA8">
        <w:rPr>
          <w:rFonts w:ascii="Times New Roman" w:hAnsi="Times New Roman" w:cs="Times New Roman"/>
          <w:sz w:val="24"/>
          <w:szCs w:val="24"/>
        </w:rPr>
        <w:t>, д. 3)</w:t>
      </w:r>
    </w:p>
    <w:p w:rsidR="00172EC5" w:rsidRDefault="00172EC5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</w:t>
      </w:r>
      <w:r w:rsidRPr="002878D9">
        <w:rPr>
          <w:rFonts w:ascii="Times New Roman" w:hAnsi="Times New Roman" w:cs="Times New Roman"/>
          <w:sz w:val="24"/>
          <w:szCs w:val="24"/>
        </w:rPr>
        <w:t xml:space="preserve">: </w:t>
      </w:r>
      <w:r w:rsidRPr="001A5BA8">
        <w:rPr>
          <w:rFonts w:ascii="Times New Roman" w:hAnsi="Times New Roman" w:cs="Times New Roman"/>
          <w:sz w:val="24"/>
          <w:szCs w:val="24"/>
        </w:rPr>
        <w:t xml:space="preserve">РФ, Республика Саха (Якутия), г. Якутск, ул. </w:t>
      </w:r>
      <w:proofErr w:type="spellStart"/>
      <w:r w:rsidRPr="001A5BA8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Pr="001A5BA8">
        <w:rPr>
          <w:rFonts w:ascii="Times New Roman" w:hAnsi="Times New Roman" w:cs="Times New Roman"/>
          <w:sz w:val="24"/>
          <w:szCs w:val="24"/>
        </w:rPr>
        <w:t>, д. 3</w:t>
      </w:r>
    </w:p>
    <w:p w:rsidR="00172EC5" w:rsidRPr="002878D9" w:rsidRDefault="00172EC5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Начальная (минимальная) цена договора аренды в размере ежемесячного платежа за право пользования указанным помещ</w:t>
      </w:r>
      <w:r>
        <w:rPr>
          <w:rFonts w:ascii="Times New Roman" w:hAnsi="Times New Roman" w:cs="Times New Roman"/>
          <w:sz w:val="24"/>
          <w:szCs w:val="24"/>
        </w:rPr>
        <w:t>ением —</w:t>
      </w:r>
      <w:r w:rsidRPr="002878D9">
        <w:rPr>
          <w:rFonts w:ascii="Times New Roman" w:hAnsi="Times New Roman" w:cs="Times New Roman"/>
          <w:sz w:val="24"/>
          <w:szCs w:val="24"/>
        </w:rPr>
        <w:t xml:space="preserve"> 86 445 (восемьсот шесть тысяч четырес</w:t>
      </w:r>
      <w:r>
        <w:rPr>
          <w:rFonts w:ascii="Times New Roman" w:hAnsi="Times New Roman" w:cs="Times New Roman"/>
          <w:sz w:val="24"/>
          <w:szCs w:val="24"/>
        </w:rPr>
        <w:t>та сорок пять) рублей 00 копеек.</w:t>
      </w:r>
    </w:p>
    <w:p w:rsidR="00172EC5" w:rsidRPr="002878D9" w:rsidRDefault="00172EC5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размещено на официальном сайте www.torgi.gov.ru, www.якутск.рф и электронной площадке www.rts-tender.ru «</w:t>
      </w:r>
      <w:r w:rsidR="00135F0F">
        <w:rPr>
          <w:rFonts w:ascii="Times New Roman" w:hAnsi="Times New Roman" w:cs="Times New Roman"/>
          <w:sz w:val="24"/>
          <w:szCs w:val="24"/>
        </w:rPr>
        <w:t>20</w:t>
      </w:r>
      <w:r w:rsidRPr="002878D9">
        <w:rPr>
          <w:rFonts w:ascii="Times New Roman" w:hAnsi="Times New Roman" w:cs="Times New Roman"/>
          <w:sz w:val="24"/>
          <w:szCs w:val="24"/>
        </w:rPr>
        <w:t>» августа 2020 г.</w:t>
      </w:r>
    </w:p>
    <w:p w:rsidR="00172EC5" w:rsidRPr="002878D9" w:rsidRDefault="00172EC5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D9" w:rsidRP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На процедуре рассмотрения заявок присутствовали (отсутствовали) следующие члены комиссии:</w:t>
      </w:r>
    </w:p>
    <w:p w:rsidR="002878D9" w:rsidRP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2878D9">
        <w:rPr>
          <w:rFonts w:ascii="Times New Roman" w:hAnsi="Times New Roman" w:cs="Times New Roman"/>
          <w:sz w:val="24"/>
          <w:szCs w:val="24"/>
        </w:rPr>
        <w:tab/>
        <w:t xml:space="preserve">С.Д. Антонова </w:t>
      </w:r>
      <w:r w:rsidRPr="002878D9">
        <w:rPr>
          <w:rFonts w:ascii="Times New Roman" w:hAnsi="Times New Roman" w:cs="Times New Roman"/>
          <w:sz w:val="24"/>
          <w:szCs w:val="24"/>
        </w:rPr>
        <w:tab/>
        <w:t>Присутствует</w:t>
      </w:r>
    </w:p>
    <w:p w:rsidR="002878D9" w:rsidRP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 xml:space="preserve">Зам. Председателя            </w:t>
      </w:r>
      <w:r w:rsidR="00135F0F">
        <w:rPr>
          <w:rFonts w:ascii="Times New Roman" w:hAnsi="Times New Roman" w:cs="Times New Roman"/>
          <w:sz w:val="24"/>
          <w:szCs w:val="24"/>
        </w:rPr>
        <w:t xml:space="preserve">  </w:t>
      </w:r>
      <w:r w:rsidRPr="002878D9">
        <w:rPr>
          <w:rFonts w:ascii="Times New Roman" w:hAnsi="Times New Roman" w:cs="Times New Roman"/>
          <w:sz w:val="24"/>
          <w:szCs w:val="24"/>
        </w:rPr>
        <w:t>И.П. Попов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F0F" w:rsidRPr="002878D9">
        <w:rPr>
          <w:rFonts w:ascii="Times New Roman" w:hAnsi="Times New Roman" w:cs="Times New Roman"/>
          <w:sz w:val="24"/>
          <w:szCs w:val="24"/>
        </w:rPr>
        <w:t>Отсутствует</w:t>
      </w:r>
    </w:p>
    <w:p w:rsidR="002878D9" w:rsidRP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Член комиссии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78D9">
        <w:rPr>
          <w:rFonts w:ascii="Times New Roman" w:hAnsi="Times New Roman" w:cs="Times New Roman"/>
          <w:sz w:val="24"/>
          <w:szCs w:val="24"/>
        </w:rPr>
        <w:t xml:space="preserve">Я.Д. Осипова 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5F0F" w:rsidRPr="002878D9">
        <w:rPr>
          <w:rFonts w:ascii="Times New Roman" w:hAnsi="Times New Roman" w:cs="Times New Roman"/>
          <w:sz w:val="24"/>
          <w:szCs w:val="24"/>
        </w:rPr>
        <w:t>Присутствует</w:t>
      </w:r>
    </w:p>
    <w:p w:rsidR="002878D9" w:rsidRP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Член комиссии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78D9">
        <w:rPr>
          <w:rFonts w:ascii="Times New Roman" w:hAnsi="Times New Roman" w:cs="Times New Roman"/>
          <w:sz w:val="24"/>
          <w:szCs w:val="24"/>
        </w:rPr>
        <w:t xml:space="preserve">П.П. Максимов </w:t>
      </w:r>
      <w:r w:rsidRPr="002878D9">
        <w:rPr>
          <w:rFonts w:ascii="Times New Roman" w:hAnsi="Times New Roman" w:cs="Times New Roman"/>
          <w:sz w:val="24"/>
          <w:szCs w:val="24"/>
        </w:rPr>
        <w:tab/>
        <w:t>Отсутствует</w:t>
      </w:r>
    </w:p>
    <w:p w:rsidR="002878D9" w:rsidRP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Член комиссии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5F0F" w:rsidRPr="002878D9">
        <w:rPr>
          <w:rFonts w:ascii="Times New Roman" w:hAnsi="Times New Roman" w:cs="Times New Roman"/>
          <w:sz w:val="24"/>
          <w:szCs w:val="24"/>
        </w:rPr>
        <w:t>Э.Ш. Голышева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 w:rsidRPr="002878D9">
        <w:rPr>
          <w:rFonts w:ascii="Times New Roman" w:hAnsi="Times New Roman" w:cs="Times New Roman"/>
          <w:sz w:val="24"/>
          <w:szCs w:val="24"/>
        </w:rPr>
        <w:t>Отсутствует</w:t>
      </w:r>
    </w:p>
    <w:p w:rsidR="002878D9" w:rsidRP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Член комиссии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78D9">
        <w:rPr>
          <w:rFonts w:ascii="Times New Roman" w:hAnsi="Times New Roman" w:cs="Times New Roman"/>
          <w:sz w:val="24"/>
          <w:szCs w:val="24"/>
        </w:rPr>
        <w:t>М.В. Поликарпов</w:t>
      </w:r>
      <w:r w:rsidRPr="002878D9">
        <w:rPr>
          <w:rFonts w:ascii="Times New Roman" w:hAnsi="Times New Roman" w:cs="Times New Roman"/>
          <w:sz w:val="24"/>
          <w:szCs w:val="24"/>
        </w:rPr>
        <w:tab/>
        <w:t>Присутствует</w:t>
      </w:r>
    </w:p>
    <w:p w:rsidR="002878D9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D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5F0F" w:rsidRPr="002878D9">
        <w:rPr>
          <w:rFonts w:ascii="Times New Roman" w:hAnsi="Times New Roman" w:cs="Times New Roman"/>
          <w:sz w:val="24"/>
          <w:szCs w:val="24"/>
        </w:rPr>
        <w:t>В.В. Бурнашев</w:t>
      </w:r>
      <w:r w:rsidRPr="002878D9">
        <w:rPr>
          <w:rFonts w:ascii="Times New Roman" w:hAnsi="Times New Roman" w:cs="Times New Roman"/>
          <w:sz w:val="24"/>
          <w:szCs w:val="24"/>
        </w:rPr>
        <w:tab/>
      </w:r>
      <w:r w:rsidR="00135F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5F0F" w:rsidRPr="002878D9">
        <w:rPr>
          <w:rFonts w:ascii="Times New Roman" w:hAnsi="Times New Roman" w:cs="Times New Roman"/>
          <w:sz w:val="24"/>
          <w:szCs w:val="24"/>
        </w:rPr>
        <w:t>Присутствует</w:t>
      </w:r>
    </w:p>
    <w:p w:rsidR="00172EC5" w:rsidRDefault="00135F0F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0F">
        <w:rPr>
          <w:rFonts w:ascii="Times New Roman" w:hAnsi="Times New Roman" w:cs="Times New Roman"/>
          <w:sz w:val="24"/>
          <w:szCs w:val="24"/>
        </w:rPr>
        <w:tab/>
      </w:r>
    </w:p>
    <w:p w:rsidR="00135F0F" w:rsidRPr="00135F0F" w:rsidRDefault="00135F0F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F0F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подано ни одно</w:t>
      </w:r>
      <w:r w:rsidR="005E10CF">
        <w:rPr>
          <w:rFonts w:ascii="Times New Roman" w:hAnsi="Times New Roman" w:cs="Times New Roman"/>
          <w:sz w:val="24"/>
          <w:szCs w:val="24"/>
        </w:rPr>
        <w:t xml:space="preserve">й заявки на участие в аукционе, </w:t>
      </w:r>
      <w:r w:rsidRPr="00135F0F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239"/>
        <w:gridCol w:w="1418"/>
        <w:gridCol w:w="2268"/>
      </w:tblGrid>
      <w:tr w:rsidR="00135F0F" w:rsidRPr="00EB70A8" w:rsidTr="00A26815">
        <w:trPr>
          <w:trHeight w:val="20"/>
        </w:trPr>
        <w:tc>
          <w:tcPr>
            <w:tcW w:w="3573" w:type="dxa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9" w:type="dxa"/>
            <w:vAlign w:val="center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5F0F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418" w:type="dxa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5F0F">
              <w:rPr>
                <w:rFonts w:ascii="Times New Roman" w:hAnsi="Times New Roman" w:cs="Times New Roman"/>
                <w:b/>
                <w:bCs/>
                <w:sz w:val="24"/>
              </w:rPr>
              <w:t>Решение комиссии</w:t>
            </w:r>
          </w:p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35F0F">
              <w:rPr>
                <w:rFonts w:ascii="Times New Roman" w:hAnsi="Times New Roman" w:cs="Times New Roman"/>
                <w:b/>
                <w:bCs/>
                <w:sz w:val="24"/>
              </w:rPr>
              <w:t>За/Против</w:t>
            </w:r>
          </w:p>
        </w:tc>
        <w:tc>
          <w:tcPr>
            <w:tcW w:w="2268" w:type="dxa"/>
            <w:vAlign w:val="center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5F0F">
              <w:rPr>
                <w:rFonts w:ascii="Times New Roman" w:hAnsi="Times New Roman" w:cs="Times New Roman"/>
                <w:b/>
                <w:bCs/>
                <w:sz w:val="24"/>
              </w:rPr>
              <w:t>Подпись</w:t>
            </w:r>
          </w:p>
        </w:tc>
      </w:tr>
      <w:tr w:rsidR="00135F0F" w:rsidRPr="00EB70A8" w:rsidTr="00A26815">
        <w:trPr>
          <w:trHeight w:val="20"/>
        </w:trPr>
        <w:tc>
          <w:tcPr>
            <w:tcW w:w="3573" w:type="dxa"/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135F0F">
              <w:rPr>
                <w:rFonts w:ascii="Times New Roman" w:hAnsi="Times New Roman" w:cs="Times New Roman"/>
                <w:bCs/>
                <w:sz w:val="24"/>
              </w:rPr>
              <w:t>Председатель комиссии</w:t>
            </w:r>
          </w:p>
        </w:tc>
        <w:tc>
          <w:tcPr>
            <w:tcW w:w="2239" w:type="dxa"/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5F0F">
              <w:rPr>
                <w:rFonts w:ascii="Times New Roman" w:hAnsi="Times New Roman" w:cs="Times New Roman"/>
                <w:sz w:val="24"/>
              </w:rPr>
              <w:t>С.Д. Антонова</w:t>
            </w:r>
          </w:p>
        </w:tc>
        <w:tc>
          <w:tcPr>
            <w:tcW w:w="1418" w:type="dxa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240" w:line="36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5F0F">
              <w:rPr>
                <w:rFonts w:ascii="Times New Roman" w:hAnsi="Times New Roman" w:cs="Times New Roman"/>
                <w:bCs/>
                <w:sz w:val="24"/>
              </w:rPr>
              <w:t>За</w:t>
            </w:r>
          </w:p>
        </w:tc>
        <w:tc>
          <w:tcPr>
            <w:tcW w:w="2268" w:type="dxa"/>
            <w:vAlign w:val="center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35F0F" w:rsidRPr="00EB70A8" w:rsidTr="00A26815">
        <w:trPr>
          <w:trHeight w:val="20"/>
        </w:trPr>
        <w:tc>
          <w:tcPr>
            <w:tcW w:w="3573" w:type="dxa"/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135F0F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239" w:type="dxa"/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Я.Д. Осипова</w:t>
            </w:r>
          </w:p>
        </w:tc>
        <w:tc>
          <w:tcPr>
            <w:tcW w:w="1418" w:type="dxa"/>
          </w:tcPr>
          <w:p w:rsidR="00135F0F" w:rsidRPr="00135F0F" w:rsidRDefault="00135F0F" w:rsidP="004263F9">
            <w:pPr>
              <w:spacing w:after="24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135F0F">
              <w:rPr>
                <w:rFonts w:ascii="Times New Roman" w:hAnsi="Times New Roman" w:cs="Times New Roman"/>
                <w:bCs/>
                <w:sz w:val="24"/>
              </w:rPr>
              <w:t>За</w:t>
            </w:r>
          </w:p>
        </w:tc>
        <w:tc>
          <w:tcPr>
            <w:tcW w:w="2268" w:type="dxa"/>
            <w:vAlign w:val="center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35F0F" w:rsidRPr="00EB70A8" w:rsidTr="00A26815">
        <w:trPr>
          <w:trHeight w:val="20"/>
        </w:trPr>
        <w:tc>
          <w:tcPr>
            <w:tcW w:w="3573" w:type="dxa"/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5F0F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239" w:type="dxa"/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5F0F">
              <w:rPr>
                <w:rFonts w:ascii="Times New Roman" w:hAnsi="Times New Roman" w:cs="Times New Roman"/>
                <w:sz w:val="24"/>
              </w:rPr>
              <w:t>М.В. Поликарпов</w:t>
            </w:r>
          </w:p>
        </w:tc>
        <w:tc>
          <w:tcPr>
            <w:tcW w:w="1418" w:type="dxa"/>
          </w:tcPr>
          <w:p w:rsidR="00135F0F" w:rsidRPr="00135F0F" w:rsidRDefault="00135F0F" w:rsidP="004263F9">
            <w:pPr>
              <w:spacing w:after="24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135F0F">
              <w:rPr>
                <w:rFonts w:ascii="Times New Roman" w:hAnsi="Times New Roman" w:cs="Times New Roman"/>
                <w:bCs/>
                <w:sz w:val="24"/>
              </w:rPr>
              <w:t>За</w:t>
            </w:r>
          </w:p>
        </w:tc>
        <w:tc>
          <w:tcPr>
            <w:tcW w:w="2268" w:type="dxa"/>
            <w:vAlign w:val="center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35F0F" w:rsidRPr="00EB70A8" w:rsidTr="00A26815">
        <w:trPr>
          <w:trHeight w:val="2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35F0F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0F" w:rsidRPr="00135F0F" w:rsidRDefault="00135F0F" w:rsidP="004263F9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В.В. Бурнашев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0F" w:rsidRPr="00135F0F" w:rsidRDefault="00135F0F" w:rsidP="004263F9">
            <w:pPr>
              <w:spacing w:after="24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135F0F">
              <w:rPr>
                <w:rFonts w:ascii="Times New Roman" w:hAnsi="Times New Roman" w:cs="Times New Roman"/>
                <w:bCs/>
                <w:sz w:val="24"/>
              </w:rPr>
              <w:t>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0F" w:rsidRPr="00135F0F" w:rsidRDefault="00135F0F" w:rsidP="004263F9">
            <w:pPr>
              <w:tabs>
                <w:tab w:val="num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878D9" w:rsidRPr="001A5BA8" w:rsidRDefault="002878D9" w:rsidP="0042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8D9" w:rsidRPr="001A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9"/>
    <w:rsid w:val="00040FEE"/>
    <w:rsid w:val="00135F0F"/>
    <w:rsid w:val="00172EC5"/>
    <w:rsid w:val="001A5BA8"/>
    <w:rsid w:val="002878D9"/>
    <w:rsid w:val="003B5019"/>
    <w:rsid w:val="004263F9"/>
    <w:rsid w:val="005E10CF"/>
    <w:rsid w:val="00D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34ED-127D-4F69-86C4-07DFE87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Козлова</dc:creator>
  <cp:keywords/>
  <dc:description/>
  <cp:lastModifiedBy>Екатерина П. Козлова</cp:lastModifiedBy>
  <cp:revision>6</cp:revision>
  <dcterms:created xsi:type="dcterms:W3CDTF">2020-09-14T05:31:00Z</dcterms:created>
  <dcterms:modified xsi:type="dcterms:W3CDTF">2020-09-14T06:12:00Z</dcterms:modified>
</cp:coreProperties>
</file>